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0C" w:rsidRPr="006965F4" w:rsidRDefault="0003480C" w:rsidP="0003480C">
      <w:pPr>
        <w:pStyle w:val="BodyText3"/>
        <w:jc w:val="center"/>
        <w:rPr>
          <w:rFonts w:cs="GHKKBG+TimesNewRoman"/>
          <w:b/>
          <w:color w:val="000000"/>
          <w:sz w:val="28"/>
          <w:szCs w:val="28"/>
          <w:u w:val="single"/>
        </w:rPr>
      </w:pPr>
      <w:r w:rsidRPr="006965F4">
        <w:rPr>
          <w:rFonts w:ascii="Bookman Old Style" w:hAnsi="Bookman Old Style" w:cs="Arial"/>
          <w:b/>
          <w:bCs/>
          <w:sz w:val="28"/>
          <w:szCs w:val="28"/>
          <w:u w:val="single"/>
        </w:rPr>
        <w:t>Section 4(1)</w:t>
      </w:r>
      <w:r w:rsidR="00292993">
        <w:rPr>
          <w:rFonts w:ascii="Bookman Old Style" w:hAnsi="Bookman Old Style" w:cs="Arial"/>
          <w:b/>
          <w:bCs/>
          <w:sz w:val="28"/>
          <w:szCs w:val="28"/>
          <w:u w:val="single"/>
        </w:rPr>
        <w:t xml:space="preserve"> </w:t>
      </w:r>
      <w:bookmarkStart w:id="0" w:name="_GoBack"/>
      <w:bookmarkEnd w:id="0"/>
      <w:r w:rsidRPr="006965F4">
        <w:rPr>
          <w:rFonts w:ascii="Bookman Old Style" w:hAnsi="Bookman Old Style" w:cs="Arial"/>
          <w:b/>
          <w:bCs/>
          <w:sz w:val="28"/>
          <w:szCs w:val="28"/>
          <w:u w:val="single"/>
        </w:rPr>
        <w:t>(b) of RTI Act 2005 Point - 4</w:t>
      </w:r>
    </w:p>
    <w:p w:rsidR="0003480C" w:rsidRPr="006965F4" w:rsidRDefault="0003480C" w:rsidP="0003480C">
      <w:pPr>
        <w:pStyle w:val="BodyText3"/>
        <w:jc w:val="center"/>
        <w:rPr>
          <w:rFonts w:cs="GHKKBG+TimesNewRoman"/>
          <w:b/>
          <w:color w:val="000000"/>
          <w:sz w:val="28"/>
          <w:szCs w:val="28"/>
          <w:u w:val="single"/>
        </w:rPr>
      </w:pPr>
    </w:p>
    <w:p w:rsidR="0003480C" w:rsidRPr="006965F4" w:rsidRDefault="0003480C" w:rsidP="0003480C">
      <w:pPr>
        <w:pStyle w:val="BodyText3"/>
        <w:rPr>
          <w:rFonts w:ascii="Bookman Old Style" w:hAnsi="Bookman Old Style" w:cs="GHKKBG+TimesNewRoman"/>
          <w:b/>
          <w:color w:val="000000"/>
          <w:sz w:val="28"/>
          <w:szCs w:val="28"/>
        </w:rPr>
      </w:pPr>
      <w:r w:rsidRPr="006965F4">
        <w:rPr>
          <w:rFonts w:ascii="Bookman Old Style" w:hAnsi="Bookman Old Style" w:cs="GHKKBG+TimesNewRoman"/>
          <w:b/>
          <w:color w:val="000000"/>
          <w:sz w:val="28"/>
          <w:szCs w:val="28"/>
        </w:rPr>
        <w:t xml:space="preserve">4. </w:t>
      </w:r>
      <w:r w:rsidRPr="006965F4">
        <w:rPr>
          <w:rFonts w:ascii="Bookman Old Style" w:hAnsi="Bookman Old Style"/>
          <w:b/>
          <w:sz w:val="28"/>
          <w:szCs w:val="28"/>
          <w:u w:val="single"/>
        </w:rPr>
        <w:t>THE NORMS SET FOR DISCHARGE OF THE FUNCTIONS</w:t>
      </w:r>
      <w:r w:rsidRPr="006965F4">
        <w:rPr>
          <w:rFonts w:ascii="Bookman Old Style" w:hAnsi="Bookman Old Style" w:cs="GHKKBG+TimesNewRoman"/>
          <w:b/>
          <w:color w:val="000000"/>
          <w:sz w:val="28"/>
          <w:szCs w:val="28"/>
        </w:rPr>
        <w:t>:</w:t>
      </w:r>
    </w:p>
    <w:p w:rsidR="0003480C" w:rsidRPr="006965F4" w:rsidRDefault="0003480C" w:rsidP="0003480C">
      <w:pPr>
        <w:pStyle w:val="Default"/>
        <w:rPr>
          <w:rFonts w:ascii="Bookman Old Style" w:hAnsi="Bookman Old Style"/>
          <w:sz w:val="28"/>
          <w:szCs w:val="28"/>
        </w:rPr>
      </w:pPr>
    </w:p>
    <w:p w:rsidR="0003480C" w:rsidRPr="00D932D7" w:rsidRDefault="0003480C" w:rsidP="0003480C">
      <w:pPr>
        <w:pStyle w:val="BodyText3"/>
        <w:tabs>
          <w:tab w:val="left" w:pos="1530"/>
          <w:tab w:val="left" w:pos="1620"/>
          <w:tab w:val="left" w:pos="1710"/>
        </w:tabs>
        <w:jc w:val="both"/>
        <w:rPr>
          <w:rFonts w:ascii="Bookman Old Style" w:hAnsi="Bookman Old Style" w:cs="GHKKBG+TimesNewRoman"/>
          <w:color w:val="000000"/>
          <w:sz w:val="26"/>
          <w:szCs w:val="26"/>
        </w:rPr>
      </w:pPr>
      <w:r w:rsidRPr="00D932D7">
        <w:rPr>
          <w:rFonts w:ascii="Bookman Old Style" w:hAnsi="Bookman Old Style" w:cs="GHKKBG+TimesNewRoman"/>
          <w:color w:val="000000"/>
          <w:sz w:val="26"/>
          <w:szCs w:val="26"/>
        </w:rPr>
        <w:t xml:space="preserve">         Norms for discharge of functions have been prescribed by KERC vide </w:t>
      </w:r>
      <w:r w:rsidRPr="00D932D7">
        <w:rPr>
          <w:rFonts w:ascii="Bookman Old Style" w:hAnsi="Bookman Old Style" w:cs="GHKKBG+TimesNewRoman"/>
          <w:b/>
          <w:color w:val="000000"/>
          <w:sz w:val="26"/>
          <w:szCs w:val="26"/>
        </w:rPr>
        <w:t>KERC (Licensees Standards of performance) Regulations, 2004</w:t>
      </w:r>
      <w:r w:rsidRPr="00D932D7">
        <w:rPr>
          <w:rFonts w:ascii="Bookman Old Style" w:hAnsi="Bookman Old Style" w:cs="GHKKBG+TimesNewRoman"/>
          <w:color w:val="000000"/>
          <w:sz w:val="26"/>
          <w:szCs w:val="26"/>
        </w:rPr>
        <w:t xml:space="preserve">.  The norms are named as standard of performance, the details are appended herewith. The features of such standards are as follows: </w:t>
      </w:r>
    </w:p>
    <w:p w:rsidR="0003480C" w:rsidRPr="00D932D7" w:rsidRDefault="0003480C" w:rsidP="0003480C">
      <w:pPr>
        <w:pStyle w:val="Default"/>
        <w:rPr>
          <w:rFonts w:ascii="Bookman Old Style" w:hAnsi="Bookman Old Style"/>
          <w:sz w:val="26"/>
          <w:szCs w:val="26"/>
        </w:rPr>
      </w:pPr>
    </w:p>
    <w:p w:rsidR="0003480C" w:rsidRPr="00D932D7" w:rsidRDefault="0003480C" w:rsidP="0003480C">
      <w:pPr>
        <w:pStyle w:val="BodyText3"/>
        <w:numPr>
          <w:ilvl w:val="0"/>
          <w:numId w:val="1"/>
        </w:numPr>
        <w:ind w:right="540"/>
        <w:jc w:val="both"/>
        <w:rPr>
          <w:rFonts w:ascii="Bookman Old Style" w:hAnsi="Bookman Old Style" w:cs="GHKKBG+TimesNewRoman"/>
          <w:color w:val="000000"/>
          <w:sz w:val="26"/>
          <w:szCs w:val="26"/>
        </w:rPr>
      </w:pPr>
      <w:r w:rsidRPr="00D932D7">
        <w:rPr>
          <w:rFonts w:ascii="Bookman Old Style" w:hAnsi="Bookman Old Style" w:cs="GHKKBG+TimesNewRoman"/>
          <w:color w:val="000000"/>
          <w:sz w:val="26"/>
          <w:szCs w:val="26"/>
        </w:rPr>
        <w:t xml:space="preserve">The standards of performance specified shall be the minimum standard of service with reference to quality, continuity and reliability of service that a licensee shall achieve in the discharge of his obligations. </w:t>
      </w:r>
    </w:p>
    <w:p w:rsidR="0003480C" w:rsidRPr="00D932D7" w:rsidRDefault="0003480C" w:rsidP="0003480C">
      <w:pPr>
        <w:pStyle w:val="Default"/>
        <w:ind w:left="720" w:right="540"/>
        <w:rPr>
          <w:rFonts w:ascii="Bookman Old Style" w:hAnsi="Bookman Old Style"/>
          <w:sz w:val="26"/>
          <w:szCs w:val="26"/>
        </w:rPr>
      </w:pPr>
    </w:p>
    <w:p w:rsidR="0003480C" w:rsidRPr="00D932D7" w:rsidRDefault="0003480C" w:rsidP="0003480C">
      <w:pPr>
        <w:pStyle w:val="BodyText3"/>
        <w:numPr>
          <w:ilvl w:val="0"/>
          <w:numId w:val="1"/>
        </w:numPr>
        <w:ind w:right="540"/>
        <w:jc w:val="both"/>
        <w:rPr>
          <w:rFonts w:ascii="Bookman Old Style" w:hAnsi="Bookman Old Style" w:cs="GHKKBG+TimesNewRoman"/>
          <w:color w:val="000000"/>
          <w:sz w:val="26"/>
          <w:szCs w:val="26"/>
        </w:rPr>
      </w:pPr>
      <w:r w:rsidRPr="00D932D7">
        <w:rPr>
          <w:rFonts w:ascii="Bookman Old Style" w:hAnsi="Bookman Old Style" w:cs="GHKKBG+TimesNewRoman"/>
          <w:color w:val="000000"/>
          <w:sz w:val="26"/>
          <w:szCs w:val="26"/>
        </w:rPr>
        <w:t xml:space="preserve">Standards of performance specified in schedule I relates to liability to the consumers for payment of an amount in the manner provided in the schedule I, in case the Licensee fails to achieve the Standards of performance. </w:t>
      </w:r>
    </w:p>
    <w:p w:rsidR="0003480C" w:rsidRPr="00D932D7" w:rsidRDefault="0003480C" w:rsidP="0003480C">
      <w:pPr>
        <w:pStyle w:val="Default"/>
        <w:ind w:right="540"/>
        <w:rPr>
          <w:rFonts w:ascii="Bookman Old Style" w:hAnsi="Bookman Old Style"/>
          <w:sz w:val="26"/>
          <w:szCs w:val="26"/>
        </w:rPr>
      </w:pPr>
    </w:p>
    <w:p w:rsidR="0003480C" w:rsidRPr="00D932D7" w:rsidRDefault="0003480C" w:rsidP="0003480C">
      <w:pPr>
        <w:pStyle w:val="BodyText3"/>
        <w:numPr>
          <w:ilvl w:val="0"/>
          <w:numId w:val="1"/>
        </w:numPr>
        <w:ind w:right="540"/>
        <w:jc w:val="both"/>
        <w:rPr>
          <w:rFonts w:ascii="Bookman Old Style" w:hAnsi="Bookman Old Style" w:cs="GHKKBG+TimesNewRoman"/>
          <w:color w:val="000000"/>
          <w:sz w:val="26"/>
          <w:szCs w:val="26"/>
        </w:rPr>
      </w:pPr>
      <w:r w:rsidRPr="00D932D7">
        <w:rPr>
          <w:rFonts w:ascii="Bookman Old Style" w:hAnsi="Bookman Old Style" w:cs="GHKKBG+TimesNewRoman"/>
          <w:color w:val="000000"/>
          <w:sz w:val="26"/>
          <w:szCs w:val="26"/>
        </w:rPr>
        <w:t>In case of applications requiring supply under low tension agriculture category (IP sets) such obligation on the part of the licensee shall be limited to the number of connections that can be covered within the target fixed for the year for release of agricultural connections.  The licensee shall inform the applicants in writing the period within which the power supply will be provided</w:t>
      </w:r>
      <w:r>
        <w:rPr>
          <w:rFonts w:ascii="Bookman Old Style" w:hAnsi="Bookman Old Style" w:cs="GHKKBG+TimesNewRoman"/>
          <w:color w:val="000000"/>
          <w:sz w:val="26"/>
          <w:szCs w:val="26"/>
        </w:rPr>
        <w:t>,</w:t>
      </w:r>
      <w:r w:rsidRPr="00D932D7">
        <w:rPr>
          <w:rFonts w:ascii="Bookman Old Style" w:hAnsi="Bookman Old Style" w:cs="GHKKBG+TimesNewRoman"/>
          <w:color w:val="000000"/>
          <w:sz w:val="26"/>
          <w:szCs w:val="26"/>
        </w:rPr>
        <w:t xml:space="preserve"> within one month from the date of fixation of target by the Government OR within one month from the date of registration of application, whichever is later.  If the applicant’s case cannot be covered in the programme of release of IP set connections fixed for the year, the same shall be intimated to the applicant. </w:t>
      </w:r>
    </w:p>
    <w:p w:rsidR="0003480C" w:rsidRPr="00D932D7" w:rsidRDefault="0003480C" w:rsidP="0003480C">
      <w:pPr>
        <w:pStyle w:val="Default"/>
        <w:ind w:left="720" w:right="540"/>
        <w:rPr>
          <w:rFonts w:ascii="Bookman Old Style" w:hAnsi="Bookman Old Style"/>
          <w:sz w:val="26"/>
          <w:szCs w:val="26"/>
        </w:rPr>
      </w:pPr>
    </w:p>
    <w:p w:rsidR="0003480C" w:rsidRPr="00D932D7" w:rsidRDefault="0003480C" w:rsidP="0003480C">
      <w:pPr>
        <w:pStyle w:val="BodyText3"/>
        <w:numPr>
          <w:ilvl w:val="0"/>
          <w:numId w:val="1"/>
        </w:numPr>
        <w:ind w:right="540"/>
        <w:jc w:val="both"/>
        <w:rPr>
          <w:rFonts w:ascii="Bookman Old Style" w:hAnsi="Bookman Old Style" w:cs="GHKKBG+TimesNewRoman"/>
          <w:color w:val="000000"/>
          <w:sz w:val="26"/>
          <w:szCs w:val="26"/>
        </w:rPr>
      </w:pPr>
      <w:r w:rsidRPr="00D932D7">
        <w:rPr>
          <w:rFonts w:ascii="Bookman Old Style" w:hAnsi="Bookman Old Style" w:cs="GHKKBG+TimesNewRoman"/>
          <w:color w:val="000000"/>
          <w:sz w:val="26"/>
          <w:szCs w:val="26"/>
        </w:rPr>
        <w:t xml:space="preserve">Schedule II relates to overall standards of performance, which indicates the level of performance the Licensee shall achieve. </w:t>
      </w:r>
    </w:p>
    <w:p w:rsidR="0003480C" w:rsidRPr="00D932D7" w:rsidRDefault="0003480C" w:rsidP="0003480C">
      <w:pPr>
        <w:pStyle w:val="Default"/>
        <w:ind w:right="540"/>
        <w:rPr>
          <w:sz w:val="26"/>
          <w:szCs w:val="26"/>
        </w:rPr>
      </w:pPr>
    </w:p>
    <w:p w:rsidR="0003480C" w:rsidRDefault="0003480C" w:rsidP="0003480C">
      <w:pPr>
        <w:pStyle w:val="Default"/>
      </w:pPr>
    </w:p>
    <w:p w:rsidR="0003480C" w:rsidRDefault="0003480C" w:rsidP="0003480C">
      <w:pPr>
        <w:pStyle w:val="Default"/>
      </w:pPr>
    </w:p>
    <w:p w:rsidR="0003480C" w:rsidRDefault="0003480C" w:rsidP="0003480C">
      <w:pPr>
        <w:pStyle w:val="Default"/>
      </w:pPr>
    </w:p>
    <w:p w:rsidR="0003480C" w:rsidRDefault="0003480C" w:rsidP="0003480C">
      <w:pPr>
        <w:pStyle w:val="Default"/>
      </w:pPr>
    </w:p>
    <w:p w:rsidR="0003480C" w:rsidRDefault="0003480C" w:rsidP="0003480C">
      <w:pPr>
        <w:pStyle w:val="Default"/>
      </w:pPr>
    </w:p>
    <w:p w:rsidR="0003480C" w:rsidRDefault="0003480C" w:rsidP="0003480C">
      <w:pPr>
        <w:pStyle w:val="Default"/>
      </w:pPr>
    </w:p>
    <w:p w:rsidR="0003480C" w:rsidRDefault="0003480C" w:rsidP="0003480C">
      <w:pPr>
        <w:pStyle w:val="Default"/>
      </w:pPr>
    </w:p>
    <w:sectPr w:rsidR="0003480C" w:rsidSect="00E05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GNPBJ+BookAntiqua">
    <w:altName w:val="Book Antiqua"/>
    <w:panose1 w:val="00000000000000000000"/>
    <w:charset w:val="00"/>
    <w:family w:val="roman"/>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GHKKBG+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1F9B"/>
    <w:multiLevelType w:val="hybridMultilevel"/>
    <w:tmpl w:val="E1C87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A6CDA"/>
    <w:rsid w:val="0003480C"/>
    <w:rsid w:val="00075EF2"/>
    <w:rsid w:val="001E37B1"/>
    <w:rsid w:val="002626AA"/>
    <w:rsid w:val="0028429B"/>
    <w:rsid w:val="00286C36"/>
    <w:rsid w:val="00292993"/>
    <w:rsid w:val="0039521B"/>
    <w:rsid w:val="003A5CE3"/>
    <w:rsid w:val="003C208E"/>
    <w:rsid w:val="00555AE0"/>
    <w:rsid w:val="00602802"/>
    <w:rsid w:val="006965F4"/>
    <w:rsid w:val="00697E91"/>
    <w:rsid w:val="006A21F1"/>
    <w:rsid w:val="007A5599"/>
    <w:rsid w:val="007A57BC"/>
    <w:rsid w:val="008C081D"/>
    <w:rsid w:val="00AA6CDA"/>
    <w:rsid w:val="00AE1367"/>
    <w:rsid w:val="00B932D4"/>
    <w:rsid w:val="00BF7FD6"/>
    <w:rsid w:val="00D3235C"/>
    <w:rsid w:val="00D65A6C"/>
    <w:rsid w:val="00D71026"/>
    <w:rsid w:val="00D932D7"/>
    <w:rsid w:val="00E0590C"/>
    <w:rsid w:val="00EF1F84"/>
    <w:rsid w:val="00F22CCD"/>
    <w:rsid w:val="00F32754"/>
    <w:rsid w:val="00F9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CDA"/>
    <w:pPr>
      <w:autoSpaceDE w:val="0"/>
      <w:autoSpaceDN w:val="0"/>
      <w:adjustRightInd w:val="0"/>
      <w:spacing w:after="0" w:line="240" w:lineRule="auto"/>
    </w:pPr>
    <w:rPr>
      <w:rFonts w:ascii="GGNPBJ+BookAntiqua" w:eastAsia="Times New Roman" w:hAnsi="GGNPBJ+BookAntiqua" w:cs="GGNPBJ+BookAntiqua"/>
      <w:color w:val="000000"/>
      <w:sz w:val="24"/>
      <w:szCs w:val="24"/>
      <w:lang w:val="en-IN" w:eastAsia="en-IN" w:bidi="kn-IN"/>
    </w:rPr>
  </w:style>
  <w:style w:type="paragraph" w:styleId="BodyText3">
    <w:name w:val="Body Text 3"/>
    <w:basedOn w:val="Default"/>
    <w:next w:val="Default"/>
    <w:link w:val="BodyText3Char"/>
    <w:rsid w:val="00AA6CDA"/>
    <w:rPr>
      <w:rFonts w:cs="Tunga"/>
      <w:color w:val="auto"/>
    </w:rPr>
  </w:style>
  <w:style w:type="character" w:customStyle="1" w:styleId="BodyText3Char">
    <w:name w:val="Body Text 3 Char"/>
    <w:basedOn w:val="DefaultParagraphFont"/>
    <w:link w:val="BodyText3"/>
    <w:rsid w:val="00AA6CDA"/>
    <w:rPr>
      <w:rFonts w:ascii="GGNPBJ+BookAntiqua" w:eastAsia="Times New Roman" w:hAnsi="GGNPBJ+BookAntiqua" w:cs="Tunga"/>
      <w:sz w:val="24"/>
      <w:szCs w:val="24"/>
      <w:lang w:val="en-IN" w:eastAsia="en-IN" w:bidi="k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Bescom</dc:creator>
  <cp:keywords/>
  <dc:description/>
  <cp:lastModifiedBy>DGM RTI</cp:lastModifiedBy>
  <cp:revision>22</cp:revision>
  <dcterms:created xsi:type="dcterms:W3CDTF">2014-02-18T09:34:00Z</dcterms:created>
  <dcterms:modified xsi:type="dcterms:W3CDTF">2017-12-08T11:21:00Z</dcterms:modified>
</cp:coreProperties>
</file>