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FF" w:rsidRPr="00865C49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865C49">
        <w:rPr>
          <w:rFonts w:ascii="Bookman Old Style" w:hAnsi="Bookman Old Style"/>
          <w:b/>
          <w:color w:val="000000"/>
          <w:sz w:val="28"/>
          <w:szCs w:val="28"/>
          <w:u w:val="single"/>
        </w:rPr>
        <w:t>Section 4(1</w:t>
      </w:r>
      <w:proofErr w:type="gramStart"/>
      <w:r w:rsidRPr="00865C49">
        <w:rPr>
          <w:rFonts w:ascii="Bookman Old Style" w:hAnsi="Bookman Old Style"/>
          <w:b/>
          <w:color w:val="000000"/>
          <w:sz w:val="28"/>
          <w:szCs w:val="28"/>
          <w:u w:val="single"/>
        </w:rPr>
        <w:t>)(</w:t>
      </w:r>
      <w:proofErr w:type="gramEnd"/>
      <w:r w:rsidRPr="00865C49">
        <w:rPr>
          <w:rFonts w:ascii="Bookman Old Style" w:hAnsi="Bookman Old Style"/>
          <w:b/>
          <w:color w:val="000000"/>
          <w:sz w:val="28"/>
          <w:szCs w:val="28"/>
          <w:u w:val="single"/>
        </w:rPr>
        <w:t>b) of RTI Act 2005 Point - 5</w:t>
      </w:r>
    </w:p>
    <w:p w:rsidR="00AC37FF" w:rsidRPr="00865C49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rPr>
          <w:rFonts w:ascii="Bookman Old Style" w:hAnsi="Bookman Old Style"/>
          <w:b/>
          <w:color w:val="000000"/>
          <w:sz w:val="28"/>
          <w:szCs w:val="28"/>
          <w:u w:val="single"/>
        </w:rPr>
      </w:pPr>
    </w:p>
    <w:p w:rsidR="00AC37FF" w:rsidRPr="00865C49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right="270" w:hanging="540"/>
        <w:jc w:val="center"/>
        <w:rPr>
          <w:rFonts w:ascii="Bookman Old Style" w:hAnsi="Bookman Old Style"/>
          <w:b/>
          <w:sz w:val="28"/>
          <w:szCs w:val="28"/>
        </w:rPr>
      </w:pPr>
      <w:r w:rsidRPr="00865C49">
        <w:rPr>
          <w:rFonts w:ascii="Bookman Old Style" w:hAnsi="Bookman Old Style"/>
          <w:b/>
          <w:color w:val="000000"/>
          <w:sz w:val="28"/>
          <w:szCs w:val="28"/>
        </w:rPr>
        <w:t xml:space="preserve">5. </w:t>
      </w:r>
      <w:r w:rsidRPr="00865C49">
        <w:rPr>
          <w:rFonts w:ascii="Bookman Old Style" w:hAnsi="Bookman Old Style"/>
          <w:b/>
          <w:color w:val="000000"/>
          <w:sz w:val="28"/>
          <w:szCs w:val="28"/>
          <w:u w:val="single"/>
        </w:rPr>
        <w:t>THE RULES, REGULATIONS, INSTRUCTIONS, MANUALS AND RECORDS HELD OR USED BY EMPLOYEES FOR DISCHARGING ITS FUNCTIONS</w:t>
      </w:r>
      <w:r w:rsidRPr="00865C49">
        <w:rPr>
          <w:rFonts w:ascii="Bookman Old Style" w:hAnsi="Bookman Old Style"/>
          <w:b/>
          <w:color w:val="000000"/>
          <w:sz w:val="28"/>
          <w:szCs w:val="28"/>
        </w:rPr>
        <w:t>.</w:t>
      </w:r>
    </w:p>
    <w:p w:rsidR="00AC37FF" w:rsidRPr="00147371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270"/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AC37FF" w:rsidRPr="00147371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right="270"/>
        <w:jc w:val="both"/>
        <w:rPr>
          <w:rFonts w:ascii="Bookman Old Style" w:hAnsi="Bookman Old Style"/>
          <w:sz w:val="24"/>
          <w:szCs w:val="24"/>
        </w:rPr>
      </w:pPr>
      <w:r w:rsidRPr="00147371">
        <w:rPr>
          <w:rFonts w:ascii="Bookman Old Style" w:hAnsi="Bookman Old Style"/>
          <w:color w:val="000000"/>
          <w:sz w:val="26"/>
          <w:szCs w:val="26"/>
        </w:rPr>
        <w:t>The following regulations are framed by KERC to be followed by all</w:t>
      </w:r>
      <w:r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Pr="00147371">
        <w:rPr>
          <w:rFonts w:ascii="Bookman Old Style" w:hAnsi="Bookman Old Style"/>
          <w:color w:val="000000"/>
          <w:sz w:val="26"/>
          <w:szCs w:val="26"/>
        </w:rPr>
        <w:t>ESCOMs in discharge of duties in respect of Distribution/Sale of</w:t>
      </w:r>
      <w:r>
        <w:rPr>
          <w:rFonts w:ascii="Bookman Old Style" w:hAnsi="Bookman Old Style"/>
          <w:color w:val="000000"/>
          <w:sz w:val="26"/>
          <w:szCs w:val="26"/>
        </w:rPr>
        <w:t xml:space="preserve"> P</w:t>
      </w:r>
      <w:r w:rsidRPr="00147371">
        <w:rPr>
          <w:rFonts w:ascii="Bookman Old Style" w:hAnsi="Bookman Old Style"/>
          <w:color w:val="000000"/>
          <w:sz w:val="26"/>
          <w:szCs w:val="26"/>
        </w:rPr>
        <w:t>ower.</w:t>
      </w:r>
    </w:p>
    <w:p w:rsidR="00AC37FF" w:rsidRPr="00147371" w:rsidRDefault="00AC37FF" w:rsidP="00AC37FF">
      <w:pPr>
        <w:rPr>
          <w:sz w:val="12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4590"/>
      </w:tblGrid>
      <w:tr w:rsidR="00AC37FF" w:rsidRPr="00147371" w:rsidTr="00A46A45">
        <w:trPr>
          <w:trHeight w:val="647"/>
        </w:trPr>
        <w:tc>
          <w:tcPr>
            <w:tcW w:w="720" w:type="dxa"/>
          </w:tcPr>
          <w:p w:rsidR="00AC37FF" w:rsidRPr="00147371" w:rsidRDefault="00AC37FF" w:rsidP="00A46A45">
            <w:pPr>
              <w:jc w:val="center"/>
              <w:rPr>
                <w:rFonts w:ascii="Bookman Old Style" w:hAnsi="Bookman Old Style"/>
                <w:b/>
              </w:rPr>
            </w:pPr>
            <w:r w:rsidRPr="00147371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Sl</w:t>
            </w:r>
            <w:r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 xml:space="preserve">. </w:t>
            </w:r>
            <w:r w:rsidRPr="00147371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No.</w:t>
            </w:r>
          </w:p>
        </w:tc>
        <w:tc>
          <w:tcPr>
            <w:tcW w:w="3240" w:type="dxa"/>
            <w:vAlign w:val="center"/>
          </w:tcPr>
          <w:p w:rsidR="00AC37FF" w:rsidRPr="00147371" w:rsidRDefault="00AC37FF" w:rsidP="00A46A45">
            <w:pPr>
              <w:jc w:val="center"/>
              <w:rPr>
                <w:rFonts w:ascii="Bookman Old Style" w:hAnsi="Bookman Old Style"/>
                <w:b/>
              </w:rPr>
            </w:pPr>
            <w:r w:rsidRPr="00147371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Particulars</w:t>
            </w:r>
          </w:p>
        </w:tc>
        <w:tc>
          <w:tcPr>
            <w:tcW w:w="4590" w:type="dxa"/>
            <w:vAlign w:val="center"/>
          </w:tcPr>
          <w:p w:rsidR="00AC37FF" w:rsidRPr="00147371" w:rsidRDefault="00AC37FF" w:rsidP="00A46A45">
            <w:pPr>
              <w:jc w:val="center"/>
              <w:rPr>
                <w:rFonts w:ascii="Bookman Old Style" w:hAnsi="Bookman Old Style"/>
                <w:b/>
              </w:rPr>
            </w:pPr>
            <w:r w:rsidRPr="00147371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Contents</w:t>
            </w:r>
          </w:p>
        </w:tc>
      </w:tr>
      <w:tr w:rsidR="00AC37FF" w:rsidRPr="00147371" w:rsidTr="00A46A45">
        <w:trPr>
          <w:trHeight w:val="1295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Conditions of Supply of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Electricity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of Distribution Licensee </w:t>
            </w:r>
          </w:p>
        </w:tc>
        <w:tc>
          <w:tcPr>
            <w:tcW w:w="4590" w:type="dxa"/>
          </w:tcPr>
          <w:p w:rsidR="00AC37FF" w:rsidRPr="00147371" w:rsidRDefault="00AC37FF" w:rsidP="00A46A45">
            <w:pPr>
              <w:jc w:val="both"/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Contains conditions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for S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upply of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P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ower by Licensee, charges/fee for different services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.</w:t>
            </w:r>
          </w:p>
        </w:tc>
      </w:tr>
      <w:tr w:rsidR="00AC37FF" w:rsidRPr="00147371" w:rsidTr="00A46A45">
        <w:trPr>
          <w:trHeight w:val="1277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Tariff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B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ook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90" w:type="dxa"/>
          </w:tcPr>
          <w:p w:rsidR="00AC37FF" w:rsidRPr="00147371" w:rsidRDefault="00AC37FF" w:rsidP="00A46A4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C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ontains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the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R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ate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S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chedule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f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or different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C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ategory of Consumers and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C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onditions of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T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ariff.</w:t>
            </w:r>
          </w:p>
        </w:tc>
      </w:tr>
      <w:tr w:rsidR="00AC37FF" w:rsidRPr="00147371" w:rsidTr="00A46A45"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3240" w:type="dxa"/>
          </w:tcPr>
          <w:p w:rsidR="00AC37FF" w:rsidRPr="00147371" w:rsidRDefault="00AC37FF" w:rsidP="00EA5165">
            <w:pPr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KERC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(Consumer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Grievance </w:t>
            </w:r>
            <w:proofErr w:type="spellStart"/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Redress</w:t>
            </w:r>
            <w:r w:rsidR="00EA5165">
              <w:rPr>
                <w:rFonts w:ascii="Bookman Old Style" w:hAnsi="Bookman Old Style" w:cs="Arial"/>
                <w:color w:val="000000"/>
                <w:sz w:val="26"/>
                <w:szCs w:val="26"/>
              </w:rPr>
              <w:t>a</w:t>
            </w:r>
            <w:bookmarkStart w:id="0" w:name="_GoBack"/>
            <w:bookmarkEnd w:id="0"/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l</w:t>
            </w:r>
            <w:proofErr w:type="spellEnd"/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Forum and Ombudsman) Regulations, 2004</w:t>
            </w:r>
          </w:p>
        </w:tc>
        <w:tc>
          <w:tcPr>
            <w:tcW w:w="4590" w:type="dxa"/>
          </w:tcPr>
          <w:p w:rsidR="00AC37FF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Contains the procedure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for handling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grievances falling within the purview of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: </w:t>
            </w:r>
          </w:p>
          <w:p w:rsidR="00AC37FF" w:rsidRDefault="00AC37FF" w:rsidP="00A46A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522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2D5D13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Sec 126,135 to 139 </w:t>
            </w:r>
          </w:p>
          <w:p w:rsidR="00AC37FF" w:rsidRDefault="00AC37FF" w:rsidP="00A46A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522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2D5D13">
              <w:rPr>
                <w:rFonts w:ascii="Bookman Old Style" w:hAnsi="Bookman Old Style" w:cs="Arial"/>
                <w:color w:val="000000"/>
                <w:sz w:val="26"/>
                <w:szCs w:val="26"/>
              </w:rPr>
              <w:t>Accident in the distribution,</w:t>
            </w:r>
          </w:p>
          <w:p w:rsidR="00AC37FF" w:rsidRPr="002D5D13" w:rsidRDefault="00AC37FF" w:rsidP="00A46A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522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S</w:t>
            </w:r>
            <w:r w:rsidRPr="002D5D13">
              <w:rPr>
                <w:rFonts w:ascii="Bookman Old Style" w:hAnsi="Bookman Old Style" w:cs="Arial"/>
                <w:color w:val="000000"/>
                <w:sz w:val="26"/>
                <w:szCs w:val="26"/>
              </w:rPr>
              <w:t>upply or use of electricity as provided under sec 161 of ES Act,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2D5D13">
              <w:rPr>
                <w:rFonts w:ascii="Bookman Old Style" w:hAnsi="Bookman Old Style" w:cs="Arial"/>
                <w:color w:val="000000"/>
                <w:sz w:val="26"/>
                <w:szCs w:val="26"/>
              </w:rPr>
              <w:t>2003.</w:t>
            </w:r>
          </w:p>
          <w:p w:rsidR="00AC37FF" w:rsidRPr="0033614C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7FF" w:rsidRPr="00147371" w:rsidTr="00A46A45">
        <w:trPr>
          <w:trHeight w:val="3320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KERC (Consumer Complaints Handling Procedure) Regulations</w:t>
            </w:r>
            <w:r w:rsidR="00FD1AC2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,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2004.</w:t>
            </w:r>
          </w:p>
        </w:tc>
        <w:tc>
          <w:tcPr>
            <w:tcW w:w="4590" w:type="dxa"/>
          </w:tcPr>
          <w:p w:rsidR="00AC37FF" w:rsidRPr="00147371" w:rsidRDefault="00AC37FF" w:rsidP="00EA516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the procedure for lodging consumer complaints with respect to interruptions/failure of power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supply, voltage variations, Load shedding,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Metering complaints, Disconnection and reconnection complaints, Additional load and any other</w:t>
            </w:r>
            <w:r w:rsidR="00FD1AC2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complaints covered in Annexure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-1 to these Regulations.</w:t>
            </w:r>
          </w:p>
        </w:tc>
      </w:tr>
      <w:tr w:rsidR="00AC37FF" w:rsidRPr="00147371" w:rsidTr="00A46A45">
        <w:trPr>
          <w:trHeight w:val="1610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lastRenderedPageBreak/>
              <w:t>5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KERC (Licensees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Standards Of Performance) Regulations, 2004</w:t>
            </w:r>
          </w:p>
        </w:tc>
        <w:tc>
          <w:tcPr>
            <w:tcW w:w="459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standards of performance for certain functions/duties of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licensees and penalt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y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for non-performance.</w:t>
            </w:r>
          </w:p>
        </w:tc>
      </w:tr>
      <w:tr w:rsidR="00AC37FF" w:rsidRPr="00147371" w:rsidTr="00A46A45">
        <w:trPr>
          <w:trHeight w:val="1070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6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KERC (Duty of the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L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icensee to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S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upply of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E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lectricity on request) Regulations, 2004</w:t>
            </w:r>
          </w:p>
        </w:tc>
        <w:tc>
          <w:tcPr>
            <w:tcW w:w="4590" w:type="dxa"/>
          </w:tcPr>
          <w:p w:rsidR="00AC37FF" w:rsidRPr="00147371" w:rsidRDefault="00AC37FF" w:rsidP="00A46A45">
            <w:pPr>
              <w:jc w:val="both"/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provisions for supply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of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Electricity on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request and consequences on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default.</w:t>
            </w:r>
          </w:p>
        </w:tc>
      </w:tr>
      <w:tr w:rsidR="00AC37FF" w:rsidRPr="00147371" w:rsidTr="00A46A45">
        <w:trPr>
          <w:trHeight w:val="1340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7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KERC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(Recovery of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E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xpenditure for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S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upply of Electricity)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Regulations,2004</w:t>
            </w:r>
          </w:p>
        </w:tc>
        <w:tc>
          <w:tcPr>
            <w:tcW w:w="459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provisions for recovery of expenditure towards arranging power supply.</w:t>
            </w:r>
          </w:p>
        </w:tc>
      </w:tr>
      <w:tr w:rsidR="00AC37FF" w:rsidRPr="00147371" w:rsidTr="00A46A45">
        <w:trPr>
          <w:trHeight w:val="2717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8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KERC (Electricity Supply Code),2004</w:t>
            </w:r>
          </w:p>
        </w:tc>
        <w:tc>
          <w:tcPr>
            <w:tcW w:w="459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provisions for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recovery of charges for supply, billing procedures, Disputes in the bills, action for tampering, distress or damage to electrical plant, electric lines or meter, entry of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licensee to consumer’s premises, d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is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-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connection and re- connection.</w:t>
            </w:r>
          </w:p>
        </w:tc>
      </w:tr>
      <w:tr w:rsidR="00AC37FF" w:rsidRPr="00147371" w:rsidTr="00A46A45">
        <w:trPr>
          <w:trHeight w:val="1070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9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KERC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(Interest on Security Deposit) Regulations, 2005</w:t>
            </w:r>
          </w:p>
        </w:tc>
        <w:tc>
          <w:tcPr>
            <w:tcW w:w="459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Contains provisions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for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payment of interest on security deposit.</w:t>
            </w:r>
          </w:p>
        </w:tc>
      </w:tr>
      <w:tr w:rsidR="00AC37FF" w:rsidRPr="00147371" w:rsidTr="00A46A45">
        <w:trPr>
          <w:trHeight w:val="1430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10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KERC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( Procedure for filing appeal before the Appellate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Authority)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Regulation,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2005</w:t>
            </w:r>
          </w:p>
        </w:tc>
        <w:tc>
          <w:tcPr>
            <w:tcW w:w="4590" w:type="dxa"/>
          </w:tcPr>
          <w:p w:rsidR="00AC37FF" w:rsidRPr="00097928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provisions for filing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appeals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and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relevant procedure.</w:t>
            </w:r>
          </w:p>
        </w:tc>
      </w:tr>
      <w:tr w:rsidR="00AC37FF" w:rsidRPr="00147371" w:rsidTr="00A46A45">
        <w:trPr>
          <w:trHeight w:val="1457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11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Central Electricity Authority Guidelines on Installation and Operation of Meters</w:t>
            </w:r>
          </w:p>
        </w:tc>
        <w:tc>
          <w:tcPr>
            <w:tcW w:w="459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Issued by Central Electricity Authority regarding procedure for Installation, Operation and Maintenance of Energy Meters.</w:t>
            </w:r>
          </w:p>
        </w:tc>
      </w:tr>
      <w:tr w:rsidR="00AC37FF" w:rsidRPr="00147371" w:rsidTr="00A46A45">
        <w:trPr>
          <w:trHeight w:val="1313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1</w:t>
            </w: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4"/>
                <w:szCs w:val="24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Safety Manual</w:t>
            </w:r>
          </w:p>
          <w:p w:rsidR="00AC37FF" w:rsidRPr="00147371" w:rsidRDefault="00AC37FF" w:rsidP="00A46A45">
            <w:pPr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</w:tcPr>
          <w:p w:rsidR="00AC37FF" w:rsidRPr="00AD5AA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This is prepared by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BESCOM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containing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standard guidelines for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safety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practices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in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Distribution system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.</w:t>
            </w:r>
          </w:p>
        </w:tc>
      </w:tr>
      <w:tr w:rsidR="00AC37FF" w:rsidRPr="00147371" w:rsidTr="00A46A45">
        <w:trPr>
          <w:trHeight w:val="2060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lastRenderedPageBreak/>
              <w:t>1</w:t>
            </w:r>
            <w:r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4"/>
                <w:szCs w:val="24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Manual for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M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aintenance of</w:t>
            </w:r>
          </w:p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4"/>
                <w:szCs w:val="24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Distribution system </w:t>
            </w:r>
          </w:p>
          <w:p w:rsidR="00AC37FF" w:rsidRPr="00147371" w:rsidRDefault="00AC37FF" w:rsidP="00A46A45">
            <w:pPr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m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aintenance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schedule for D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istribution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S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ystem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involving transformers,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lines, service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connections. It also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c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ontains list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of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tools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required and list of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c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onsumer materials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required. </w:t>
            </w:r>
          </w:p>
        </w:tc>
      </w:tr>
    </w:tbl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6"/>
          <w:szCs w:val="26"/>
        </w:rPr>
      </w:pPr>
      <w:r w:rsidRPr="00F65EBF">
        <w:rPr>
          <w:rFonts w:ascii="Bookman Old Style" w:hAnsi="Bookman Old Style" w:cs="Arial Bold"/>
          <w:b/>
          <w:color w:val="000000"/>
          <w:sz w:val="26"/>
          <w:szCs w:val="26"/>
        </w:rPr>
        <w:t xml:space="preserve">   </w:t>
      </w: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6"/>
          <w:szCs w:val="26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6"/>
          <w:szCs w:val="26"/>
        </w:rPr>
      </w:pPr>
    </w:p>
    <w:p w:rsidR="00AC37FF" w:rsidRPr="00F65EB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Arial Bold"/>
          <w:b/>
          <w:color w:val="000000"/>
          <w:sz w:val="26"/>
          <w:szCs w:val="26"/>
        </w:rPr>
        <w:t xml:space="preserve">   </w:t>
      </w:r>
      <w:r w:rsidRPr="00F65EBF">
        <w:rPr>
          <w:rFonts w:ascii="Bookman Old Style" w:hAnsi="Bookman Old Style" w:cs="Arial Bold"/>
          <w:b/>
          <w:color w:val="000000"/>
          <w:sz w:val="26"/>
          <w:szCs w:val="26"/>
        </w:rPr>
        <w:t xml:space="preserve"> </w:t>
      </w:r>
      <w:r w:rsidRPr="00F65EBF">
        <w:rPr>
          <w:rFonts w:ascii="Bookman Old Style" w:hAnsi="Bookman Old Style" w:cs="Arial Bold"/>
          <w:b/>
          <w:color w:val="000000"/>
          <w:sz w:val="26"/>
          <w:szCs w:val="26"/>
          <w:u w:val="single"/>
        </w:rPr>
        <w:t xml:space="preserve">Other Regulations </w:t>
      </w:r>
      <w:r>
        <w:rPr>
          <w:rFonts w:ascii="Bookman Old Style" w:hAnsi="Bookman Old Style" w:cs="Arial Bold"/>
          <w:b/>
          <w:color w:val="000000"/>
          <w:sz w:val="26"/>
          <w:szCs w:val="26"/>
          <w:u w:val="single"/>
        </w:rPr>
        <w:t>concerning</w:t>
      </w:r>
      <w:r w:rsidRPr="00F65EBF">
        <w:rPr>
          <w:rFonts w:ascii="Bookman Old Style" w:hAnsi="Bookman Old Style" w:cs="Arial Bold"/>
          <w:b/>
          <w:color w:val="000000"/>
          <w:sz w:val="26"/>
          <w:szCs w:val="26"/>
          <w:u w:val="single"/>
        </w:rPr>
        <w:t xml:space="preserve"> employees</w:t>
      </w:r>
      <w:r w:rsidRPr="00F65EBF">
        <w:rPr>
          <w:rFonts w:ascii="Bookman Old Style" w:hAnsi="Bookman Old Style" w:cs="Arial Bold"/>
          <w:b/>
          <w:color w:val="000000"/>
          <w:sz w:val="26"/>
          <w:szCs w:val="26"/>
        </w:rPr>
        <w:t>:</w:t>
      </w:r>
    </w:p>
    <w:p w:rsidR="00AC37FF" w:rsidRPr="00F65EBF" w:rsidRDefault="00AC37FF" w:rsidP="00AC37FF">
      <w:pPr>
        <w:rPr>
          <w:rFonts w:ascii="Bookman Old Style" w:hAnsi="Bookman Old Style"/>
          <w:sz w:val="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3240"/>
        <w:gridCol w:w="4590"/>
      </w:tblGrid>
      <w:tr w:rsidR="00AC37FF" w:rsidRPr="00147371" w:rsidTr="00A46A45">
        <w:tc>
          <w:tcPr>
            <w:tcW w:w="72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DD3EF3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Sl. No.</w:t>
            </w:r>
          </w:p>
        </w:tc>
        <w:tc>
          <w:tcPr>
            <w:tcW w:w="3240" w:type="dxa"/>
            <w:vAlign w:val="center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147371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Particulars</w:t>
            </w:r>
          </w:p>
        </w:tc>
        <w:tc>
          <w:tcPr>
            <w:tcW w:w="4590" w:type="dxa"/>
            <w:vAlign w:val="center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147371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Contents</w:t>
            </w:r>
          </w:p>
        </w:tc>
      </w:tr>
      <w:tr w:rsidR="00AC37FF" w:rsidRPr="00147371" w:rsidTr="00A46A45">
        <w:trPr>
          <w:trHeight w:val="755"/>
        </w:trPr>
        <w:tc>
          <w:tcPr>
            <w:tcW w:w="720" w:type="dxa"/>
          </w:tcPr>
          <w:p w:rsidR="00AC37FF" w:rsidRPr="00DD3EF3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DD3EF3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3240" w:type="dxa"/>
          </w:tcPr>
          <w:p w:rsidR="00AC37FF" w:rsidRPr="00DD3EF3" w:rsidRDefault="00AC37FF" w:rsidP="00A46A45">
            <w:pPr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KEB Employees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service 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Regulation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s </w:t>
            </w:r>
          </w:p>
        </w:tc>
        <w:tc>
          <w:tcPr>
            <w:tcW w:w="4590" w:type="dxa"/>
          </w:tcPr>
          <w:p w:rsidR="00AC37FF" w:rsidRPr="00DD3EF3" w:rsidRDefault="00AC37FF" w:rsidP="00A46A45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service Conditions of employees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.</w:t>
            </w:r>
          </w:p>
        </w:tc>
      </w:tr>
      <w:tr w:rsidR="00AC37FF" w:rsidRPr="00147371" w:rsidTr="00A46A45">
        <w:trPr>
          <w:trHeight w:val="1178"/>
        </w:trPr>
        <w:tc>
          <w:tcPr>
            <w:tcW w:w="720" w:type="dxa"/>
          </w:tcPr>
          <w:p w:rsidR="00AC37FF" w:rsidRPr="00DD3EF3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DD3EF3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3240" w:type="dxa"/>
          </w:tcPr>
          <w:p w:rsidR="00AC37FF" w:rsidRPr="00DD3EF3" w:rsidRDefault="00AC37FF" w:rsidP="00A46A45">
            <w:pPr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Conduct Regulations</w:t>
            </w:r>
          </w:p>
        </w:tc>
        <w:tc>
          <w:tcPr>
            <w:tcW w:w="459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Contains provisions Regarding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omissions and commissions c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onstrued as </w:t>
            </w:r>
            <w:proofErr w:type="spellStart"/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mis</w:t>
            </w:r>
            <w:proofErr w:type="spellEnd"/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-conduct.</w:t>
            </w:r>
          </w:p>
        </w:tc>
      </w:tr>
      <w:tr w:rsidR="00AC37FF" w:rsidRPr="00147371" w:rsidTr="00A46A45">
        <w:trPr>
          <w:trHeight w:val="1538"/>
        </w:trPr>
        <w:tc>
          <w:tcPr>
            <w:tcW w:w="720" w:type="dxa"/>
          </w:tcPr>
          <w:p w:rsidR="00AC37FF" w:rsidRPr="00DD3EF3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DD3EF3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3240" w:type="dxa"/>
          </w:tcPr>
          <w:p w:rsidR="00AC37FF" w:rsidRPr="00DD3EF3" w:rsidRDefault="00AC37FF" w:rsidP="00A46A45">
            <w:pPr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Classification,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Disciplinary Control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&amp; Appeals Regulations</w:t>
            </w:r>
          </w:p>
        </w:tc>
        <w:tc>
          <w:tcPr>
            <w:tcW w:w="459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provisions regarding disciplinary actions against erring employees and nature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of penalties to be imposed.</w:t>
            </w:r>
          </w:p>
        </w:tc>
      </w:tr>
      <w:tr w:rsidR="00AC37FF" w:rsidRPr="00147371" w:rsidTr="00A46A45">
        <w:trPr>
          <w:trHeight w:val="1772"/>
        </w:trPr>
        <w:tc>
          <w:tcPr>
            <w:tcW w:w="720" w:type="dxa"/>
          </w:tcPr>
          <w:p w:rsidR="00AC37FF" w:rsidRPr="00DD3EF3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DD3EF3"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3240" w:type="dxa"/>
          </w:tcPr>
          <w:p w:rsidR="00AC37FF" w:rsidRPr="00DD3EF3" w:rsidRDefault="00AC37FF" w:rsidP="00A46A45">
            <w:pPr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Accounts Volume No.1, 2, 3 and Audit Manual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IV</w:t>
            </w:r>
          </w:p>
        </w:tc>
        <w:tc>
          <w:tcPr>
            <w:tcW w:w="459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procedures regarding Accounting of Transactions, Accounting principles being fo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llowed, Chart of Account Heads 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and Audit procedures.</w:t>
            </w:r>
          </w:p>
        </w:tc>
      </w:tr>
    </w:tbl>
    <w:p w:rsidR="00AC37FF" w:rsidRDefault="00AC37FF" w:rsidP="00AC37FF">
      <w:pPr>
        <w:rPr>
          <w:rFonts w:ascii="Bookman Old Style" w:hAnsi="Bookman Old Style"/>
          <w:sz w:val="2"/>
        </w:rPr>
      </w:pPr>
    </w:p>
    <w:p w:rsidR="00AC37FF" w:rsidRDefault="00AC37FF" w:rsidP="00AC37FF">
      <w:pPr>
        <w:rPr>
          <w:rFonts w:ascii="Bookman Old Style" w:hAnsi="Bookman Old Style"/>
          <w:sz w:val="2"/>
        </w:rPr>
      </w:pPr>
    </w:p>
    <w:p w:rsidR="00AC37FF" w:rsidRPr="00147371" w:rsidRDefault="00AC37FF" w:rsidP="00AC37FF">
      <w:pPr>
        <w:rPr>
          <w:rFonts w:ascii="Bookman Old Style" w:hAnsi="Bookman Old Style"/>
          <w:sz w:val="2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  <w:r>
        <w:rPr>
          <w:rFonts w:ascii="Bookman Old Style" w:hAnsi="Bookman Old Style" w:cs="Arial Bold"/>
          <w:b/>
          <w:color w:val="000000"/>
          <w:sz w:val="24"/>
          <w:szCs w:val="26"/>
        </w:rPr>
        <w:t xml:space="preserve">    </w:t>
      </w: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</w:p>
    <w:p w:rsidR="00AC37FF" w:rsidRPr="001C4015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  <w:u w:val="single"/>
        </w:rPr>
      </w:pPr>
      <w:r>
        <w:rPr>
          <w:rFonts w:ascii="Bookman Old Style" w:hAnsi="Bookman Old Style" w:cs="Arial Bold"/>
          <w:b/>
          <w:color w:val="000000"/>
          <w:sz w:val="24"/>
          <w:szCs w:val="26"/>
        </w:rPr>
        <w:lastRenderedPageBreak/>
        <w:t xml:space="preserve">    </w:t>
      </w:r>
      <w:r w:rsidRPr="001C4015">
        <w:rPr>
          <w:rFonts w:ascii="Bookman Old Style" w:hAnsi="Bookman Old Style" w:cs="Arial Bold"/>
          <w:b/>
          <w:color w:val="000000"/>
          <w:sz w:val="24"/>
          <w:szCs w:val="26"/>
          <w:u w:val="single"/>
        </w:rPr>
        <w:t>Records Maintained:</w:t>
      </w:r>
    </w:p>
    <w:p w:rsidR="00AC37FF" w:rsidRPr="001C4015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10"/>
          <w:szCs w:val="26"/>
        </w:rPr>
      </w:pPr>
    </w:p>
    <w:p w:rsidR="00AC37FF" w:rsidRPr="00F65EB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3240"/>
        <w:gridCol w:w="4590"/>
      </w:tblGrid>
      <w:tr w:rsidR="00AC37FF" w:rsidRPr="00DD3EF3" w:rsidTr="00A46A45">
        <w:trPr>
          <w:trHeight w:val="692"/>
        </w:trPr>
        <w:tc>
          <w:tcPr>
            <w:tcW w:w="72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b/>
                <w:szCs w:val="24"/>
              </w:rPr>
            </w:pPr>
            <w:r w:rsidRPr="00DD3EF3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Sl. No.</w:t>
            </w:r>
          </w:p>
        </w:tc>
        <w:tc>
          <w:tcPr>
            <w:tcW w:w="3240" w:type="dxa"/>
            <w:vAlign w:val="center"/>
          </w:tcPr>
          <w:p w:rsidR="00AC37FF" w:rsidRPr="00E721E2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721E2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Particulars</w:t>
            </w:r>
          </w:p>
        </w:tc>
        <w:tc>
          <w:tcPr>
            <w:tcW w:w="4590" w:type="dxa"/>
            <w:vAlign w:val="center"/>
          </w:tcPr>
          <w:p w:rsidR="00AC37FF" w:rsidRPr="00E721E2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721E2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Contents</w:t>
            </w:r>
          </w:p>
        </w:tc>
      </w:tr>
      <w:tr w:rsidR="00AC37FF" w:rsidRPr="00DD3EF3" w:rsidTr="00A46A45">
        <w:trPr>
          <w:trHeight w:val="2420"/>
        </w:trPr>
        <w:tc>
          <w:tcPr>
            <w:tcW w:w="72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AC37FF" w:rsidRPr="00824511" w:rsidRDefault="00AC37FF" w:rsidP="00A46A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522" w:hanging="450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Customer master</w:t>
            </w:r>
          </w:p>
          <w:p w:rsidR="00AC37FF" w:rsidRPr="00824511" w:rsidRDefault="00AC37FF" w:rsidP="00A46A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522" w:hanging="450"/>
              <w:rPr>
                <w:rFonts w:ascii="Bookman Old Style" w:hAnsi="Bookman Old Style"/>
                <w:sz w:val="26"/>
                <w:szCs w:val="26"/>
              </w:rPr>
            </w:pPr>
            <w:r w:rsidRPr="0082451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Consumers 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profile</w:t>
            </w:r>
            <w:r w:rsidRPr="0082451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</w:p>
          <w:p w:rsidR="00AC37FF" w:rsidRPr="00824511" w:rsidRDefault="00AC37FF" w:rsidP="00A46A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522" w:hanging="450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Customer billing and collection tree</w:t>
            </w:r>
          </w:p>
          <w:p w:rsidR="00AC37FF" w:rsidRPr="00824511" w:rsidRDefault="00AC37FF" w:rsidP="00A46A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522" w:hanging="450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Customer history</w:t>
            </w:r>
          </w:p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ind w:left="522" w:hanging="450"/>
              <w:rPr>
                <w:rFonts w:ascii="Bookman Old Style" w:hAnsi="Bookman Old Style"/>
                <w:sz w:val="26"/>
                <w:szCs w:val="26"/>
              </w:rPr>
            </w:pPr>
          </w:p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9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Contains particulars of Name of the registered consumer consumption,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tariff, billing date, 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bills raised,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p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ayments received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and 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outstanding balance. Other information like sanctioned  load, Meter constant,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details  of deposits held etc.</w:t>
            </w:r>
          </w:p>
        </w:tc>
      </w:tr>
      <w:tr w:rsidR="00AC37FF" w:rsidRPr="00DD3EF3" w:rsidTr="00A46A45">
        <w:trPr>
          <w:trHeight w:val="1070"/>
        </w:trPr>
        <w:tc>
          <w:tcPr>
            <w:tcW w:w="72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/>
                <w:sz w:val="26"/>
                <w:szCs w:val="26"/>
              </w:rPr>
              <w:t xml:space="preserve">2 </w:t>
            </w:r>
          </w:p>
        </w:tc>
        <w:tc>
          <w:tcPr>
            <w:tcW w:w="324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Cash book</w:t>
            </w:r>
          </w:p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9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Daily Account of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p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ayments received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/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remittances to banks and related matters.</w:t>
            </w:r>
          </w:p>
        </w:tc>
      </w:tr>
      <w:tr w:rsidR="00AC37FF" w:rsidRPr="00DD3EF3" w:rsidTr="00A46A45">
        <w:trPr>
          <w:trHeight w:val="3500"/>
        </w:trPr>
        <w:tc>
          <w:tcPr>
            <w:tcW w:w="72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Records relating to Accounts</w:t>
            </w:r>
          </w:p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9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Details of transactions of the Company, their classification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, 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classified, recorded and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a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nalyzed and consolidated on monthly basis in the form of trial balance. A no. of schedules are prescribed to record and exercise control over the balances depicted in Accounts. </w:t>
            </w:r>
            <w:proofErr w:type="spellStart"/>
            <w:proofErr w:type="gramStart"/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e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g</w:t>
            </w:r>
            <w:proofErr w:type="spellEnd"/>
            <w:proofErr w:type="gramEnd"/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. Power  purchase</w:t>
            </w:r>
          </w:p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schedule/Register, etc.</w:t>
            </w:r>
          </w:p>
        </w:tc>
      </w:tr>
    </w:tbl>
    <w:p w:rsidR="00AC37FF" w:rsidRPr="00DD3EF3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556"/>
        <w:jc w:val="both"/>
        <w:rPr>
          <w:rFonts w:ascii="Bookman Old Style" w:hAnsi="Bookman Old Style" w:cs="BookAntiqua"/>
          <w:color w:val="000000"/>
          <w:sz w:val="26"/>
          <w:szCs w:val="26"/>
        </w:rPr>
      </w:pPr>
    </w:p>
    <w:p w:rsidR="008F3C0F" w:rsidRPr="00AC37FF" w:rsidRDefault="008F3C0F" w:rsidP="00AC37FF"/>
    <w:sectPr w:rsidR="008F3C0F" w:rsidRPr="00AC37FF" w:rsidSect="00A81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2C2"/>
    <w:multiLevelType w:val="hybridMultilevel"/>
    <w:tmpl w:val="2FD43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41BBE"/>
    <w:multiLevelType w:val="hybridMultilevel"/>
    <w:tmpl w:val="D99A717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3C0F"/>
    <w:rsid w:val="000516DF"/>
    <w:rsid w:val="0009175C"/>
    <w:rsid w:val="00091FC9"/>
    <w:rsid w:val="00097928"/>
    <w:rsid w:val="001521D7"/>
    <w:rsid w:val="00181EB2"/>
    <w:rsid w:val="0019537B"/>
    <w:rsid w:val="001C4015"/>
    <w:rsid w:val="001E7890"/>
    <w:rsid w:val="00216305"/>
    <w:rsid w:val="00216D84"/>
    <w:rsid w:val="002629B0"/>
    <w:rsid w:val="00263AA3"/>
    <w:rsid w:val="00284BE8"/>
    <w:rsid w:val="002D5D13"/>
    <w:rsid w:val="0033614C"/>
    <w:rsid w:val="003515E4"/>
    <w:rsid w:val="00373DCE"/>
    <w:rsid w:val="003A2F0C"/>
    <w:rsid w:val="003A53F8"/>
    <w:rsid w:val="003F56AD"/>
    <w:rsid w:val="00400CB3"/>
    <w:rsid w:val="004358D1"/>
    <w:rsid w:val="004373B9"/>
    <w:rsid w:val="0056034F"/>
    <w:rsid w:val="006071B8"/>
    <w:rsid w:val="00615773"/>
    <w:rsid w:val="0063233B"/>
    <w:rsid w:val="00651190"/>
    <w:rsid w:val="00657D55"/>
    <w:rsid w:val="0069317D"/>
    <w:rsid w:val="00824511"/>
    <w:rsid w:val="00844BA1"/>
    <w:rsid w:val="008455DA"/>
    <w:rsid w:val="00865C49"/>
    <w:rsid w:val="00865E45"/>
    <w:rsid w:val="008F3C0F"/>
    <w:rsid w:val="009045E5"/>
    <w:rsid w:val="009146F5"/>
    <w:rsid w:val="009171BF"/>
    <w:rsid w:val="00917819"/>
    <w:rsid w:val="00920536"/>
    <w:rsid w:val="009C35CA"/>
    <w:rsid w:val="009F2DD0"/>
    <w:rsid w:val="00A302A4"/>
    <w:rsid w:val="00A349C3"/>
    <w:rsid w:val="00A816C9"/>
    <w:rsid w:val="00AC37FF"/>
    <w:rsid w:val="00AD5AA3"/>
    <w:rsid w:val="00B537BF"/>
    <w:rsid w:val="00B96CE9"/>
    <w:rsid w:val="00C009D2"/>
    <w:rsid w:val="00C06017"/>
    <w:rsid w:val="00C460E5"/>
    <w:rsid w:val="00CE10FA"/>
    <w:rsid w:val="00D0586F"/>
    <w:rsid w:val="00D20557"/>
    <w:rsid w:val="00D40F8A"/>
    <w:rsid w:val="00DD26B0"/>
    <w:rsid w:val="00DD3EF3"/>
    <w:rsid w:val="00DF3D50"/>
    <w:rsid w:val="00E721E2"/>
    <w:rsid w:val="00EA5165"/>
    <w:rsid w:val="00EB2042"/>
    <w:rsid w:val="00ED5A8E"/>
    <w:rsid w:val="00F04C63"/>
    <w:rsid w:val="00F26A41"/>
    <w:rsid w:val="00F26FCB"/>
    <w:rsid w:val="00F65EBF"/>
    <w:rsid w:val="00FC0A4F"/>
    <w:rsid w:val="00FD1AC2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C0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DGM RTI</cp:lastModifiedBy>
  <cp:revision>88</cp:revision>
  <dcterms:created xsi:type="dcterms:W3CDTF">2014-02-18T09:35:00Z</dcterms:created>
  <dcterms:modified xsi:type="dcterms:W3CDTF">2017-12-08T11:28:00Z</dcterms:modified>
</cp:coreProperties>
</file>