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50" w:rsidRPr="008F2552" w:rsidRDefault="00940D50" w:rsidP="00321D19">
      <w:pPr>
        <w:pStyle w:val="Heading1"/>
        <w:tabs>
          <w:tab w:val="left" w:pos="4786"/>
        </w:tabs>
        <w:spacing w:line="360" w:lineRule="auto"/>
        <w:ind w:left="0" w:firstLine="0"/>
        <w:jc w:val="center"/>
        <w:rPr>
          <w:rFonts w:ascii="Bookman Old Style" w:hAnsi="Bookman Old Style"/>
          <w:sz w:val="32"/>
          <w:szCs w:val="32"/>
          <w:u w:val="single"/>
        </w:rPr>
      </w:pPr>
      <w:r w:rsidRPr="008F2552">
        <w:rPr>
          <w:rFonts w:ascii="Bookman Old Style" w:hAnsi="Bookman Old Style"/>
          <w:sz w:val="32"/>
          <w:szCs w:val="32"/>
          <w:u w:val="single"/>
        </w:rPr>
        <w:t>CHAPTER – 1</w:t>
      </w:r>
    </w:p>
    <w:p w:rsidR="00100D98" w:rsidRPr="008F2552" w:rsidRDefault="00100D98" w:rsidP="00321D19">
      <w:pPr>
        <w:pStyle w:val="Heading1"/>
        <w:tabs>
          <w:tab w:val="left" w:pos="4786"/>
        </w:tabs>
        <w:spacing w:line="360" w:lineRule="auto"/>
        <w:ind w:left="0" w:firstLine="0"/>
        <w:jc w:val="center"/>
        <w:rPr>
          <w:rFonts w:ascii="Bookman Old Style" w:hAnsi="Bookman Old Style"/>
          <w:sz w:val="32"/>
          <w:szCs w:val="32"/>
          <w:u w:val="single"/>
        </w:rPr>
      </w:pPr>
      <w:bookmarkStart w:id="0" w:name="_Toc151533108"/>
      <w:bookmarkStart w:id="1" w:name="_Toc215035014"/>
      <w:bookmarkStart w:id="2" w:name="_Toc215035470"/>
      <w:bookmarkStart w:id="3" w:name="_Toc215035598"/>
      <w:bookmarkStart w:id="4" w:name="_Toc215041445"/>
      <w:bookmarkStart w:id="5" w:name="_Toc215043226"/>
      <w:bookmarkStart w:id="6" w:name="_Toc215130797"/>
      <w:bookmarkStart w:id="7" w:name="_Toc215131316"/>
      <w:bookmarkStart w:id="8" w:name="_Toc215131438"/>
      <w:bookmarkStart w:id="9" w:name="_Toc215133238"/>
      <w:bookmarkStart w:id="10" w:name="_Toc233890002"/>
      <w:r w:rsidRPr="008F2552">
        <w:rPr>
          <w:rFonts w:ascii="Bookman Old Style" w:hAnsi="Bookman Old Style"/>
          <w:sz w:val="32"/>
          <w:szCs w:val="32"/>
          <w:u w:val="single"/>
        </w:rPr>
        <w:t>BESCOM IN BRIEF</w:t>
      </w:r>
    </w:p>
    <w:p w:rsidR="006B1EA1" w:rsidRDefault="006B1EA1" w:rsidP="00F61DC7">
      <w:pPr>
        <w:pStyle w:val="Heading1"/>
        <w:tabs>
          <w:tab w:val="left" w:pos="4786"/>
        </w:tabs>
        <w:spacing w:before="0" w:line="360" w:lineRule="auto"/>
        <w:ind w:left="0" w:firstLine="0"/>
        <w:rPr>
          <w:rFonts w:ascii="Bookman Old Style" w:hAnsi="Bookman Old Style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  <w:gridCol w:w="3782"/>
      </w:tblGrid>
      <w:tr w:rsidR="006B1EA1" w:rsidTr="00996B34">
        <w:trPr>
          <w:trHeight w:val="5865"/>
        </w:trPr>
        <w:tc>
          <w:tcPr>
            <w:tcW w:w="5658" w:type="dxa"/>
          </w:tcPr>
          <w:p w:rsidR="0055788F" w:rsidRPr="0055788F" w:rsidRDefault="0055788F" w:rsidP="00F61DC7">
            <w:pPr>
              <w:pStyle w:val="Heading1"/>
              <w:tabs>
                <w:tab w:val="left" w:pos="4786"/>
              </w:tabs>
              <w:spacing w:before="0" w:line="360" w:lineRule="auto"/>
              <w:ind w:left="0" w:firstLine="0"/>
              <w:outlineLvl w:val="0"/>
              <w:rPr>
                <w:rFonts w:ascii="Bookman Old Style" w:hAnsi="Bookman Old Style"/>
                <w:noProof/>
                <w:sz w:val="28"/>
                <w:szCs w:val="28"/>
                <w:u w:val="single"/>
                <w:lang w:val="en-IN" w:eastAsia="en-IN"/>
              </w:rPr>
            </w:pPr>
            <w:r>
              <w:rPr>
                <w:rFonts w:ascii="Bookman Old Style" w:hAnsi="Bookman Old Style"/>
                <w:b w:val="0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6F76851E" wp14:editId="30DDBD85">
                  <wp:extent cx="3679115" cy="3614569"/>
                  <wp:effectExtent l="0" t="0" r="0" b="5080"/>
                  <wp:docPr id="9" name="Picture 9" descr="C:\Users\acer\Desktop\Final Bescom 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Final Bescom 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337" cy="361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</w:tcPr>
          <w:p w:rsidR="006B1EA1" w:rsidRPr="004F28AA" w:rsidRDefault="006B1EA1" w:rsidP="00A41009">
            <w:pPr>
              <w:pStyle w:val="Heading1"/>
              <w:tabs>
                <w:tab w:val="left" w:pos="4786"/>
              </w:tabs>
              <w:spacing w:before="0" w:after="100" w:afterAutospacing="1" w:line="480" w:lineRule="auto"/>
              <w:ind w:left="0" w:firstLine="0"/>
              <w:jc w:val="both"/>
              <w:outlineLvl w:val="0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F61DC7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BESCOM has been licensed to dist</w:t>
            </w:r>
            <w:r w:rsidR="002A1298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ribute electric power in eight d</w:t>
            </w:r>
            <w:r w:rsidRPr="00F61DC7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istricts of Karnataka namely, Bangalore Urban &amp; Bangalore Rural, </w:t>
            </w:r>
            <w:proofErr w:type="spellStart"/>
            <w:r w:rsidRPr="00F61DC7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Ramanagara</w:t>
            </w:r>
            <w:proofErr w:type="spellEnd"/>
            <w:r w:rsidRPr="00F61DC7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, Kolar, </w:t>
            </w:r>
            <w:proofErr w:type="spellStart"/>
            <w:r w:rsidRPr="00F61DC7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Chikkaballapura</w:t>
            </w:r>
            <w:proofErr w:type="spellEnd"/>
            <w:r w:rsidRPr="00F61DC7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61DC7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Tum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kur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Chitradurga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Davangere</w:t>
            </w:r>
            <w:proofErr w:type="spellEnd"/>
            <w:r w:rsidRPr="00F61DC7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r w:rsidR="002A1298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covering an area of 41,092 Sq. </w:t>
            </w:r>
            <w:proofErr w:type="spellStart"/>
            <w:r w:rsidR="002A1298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k</w:t>
            </w:r>
            <w:r w:rsidRPr="00F61DC7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ms</w:t>
            </w:r>
            <w:proofErr w:type="spellEnd"/>
            <w:r w:rsidRPr="00F61DC7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. </w:t>
            </w:r>
            <w:r w:rsidRPr="00150308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The total number of consumers as at the end of March </w:t>
            </w:r>
            <w:r w:rsidR="00BD5F53" w:rsidRPr="00150308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20</w:t>
            </w:r>
            <w:r w:rsidR="00BD5F53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20 </w:t>
            </w:r>
            <w:r w:rsidR="00BD5F53" w:rsidRPr="00150308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is</w:t>
            </w:r>
            <w:r w:rsidRPr="00150308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over </w:t>
            </w:r>
            <w:r w:rsidR="00A41009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123.65</w:t>
            </w:r>
            <w:r w:rsidRPr="00150308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lakhs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A41009" w:rsidRPr="00A41009" w:rsidRDefault="00940D50" w:rsidP="00A41009">
      <w:pPr>
        <w:jc w:val="center"/>
        <w:rPr>
          <w:rFonts w:ascii="Calibri" w:eastAsia="Times New Roman" w:hAnsi="Calibri" w:cs="Calibri"/>
          <w:b/>
          <w:bCs/>
          <w:color w:val="000000"/>
          <w:lang w:eastAsia="en-IN"/>
        </w:rPr>
      </w:pPr>
      <w:r w:rsidRPr="003951CE">
        <w:rPr>
          <w:rFonts w:ascii="Bookman Old Style" w:hAnsi="Bookman Old Style"/>
          <w:b/>
        </w:rPr>
        <w:t>Table: 1.1</w:t>
      </w:r>
    </w:p>
    <w:p w:rsidR="00940D50" w:rsidRPr="002D1877" w:rsidRDefault="00940D50" w:rsidP="00940D50">
      <w:pPr>
        <w:pStyle w:val="BodyText"/>
        <w:spacing w:before="138" w:line="360" w:lineRule="auto"/>
        <w:ind w:right="-46"/>
        <w:jc w:val="center"/>
        <w:rPr>
          <w:rFonts w:ascii="Bookman Old Style" w:hAnsi="Bookman Old Style"/>
          <w:b/>
          <w:sz w:val="20"/>
        </w:rPr>
      </w:pPr>
    </w:p>
    <w:tbl>
      <w:tblPr>
        <w:tblW w:w="833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4"/>
        <w:gridCol w:w="4015"/>
        <w:gridCol w:w="1697"/>
        <w:gridCol w:w="1583"/>
      </w:tblGrid>
      <w:tr w:rsidR="00150308" w:rsidRPr="00150308" w:rsidTr="008C04B4">
        <w:trPr>
          <w:trHeight w:val="228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830" w:rsidRPr="00150308" w:rsidRDefault="00A6183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 xml:space="preserve">Sl. </w:t>
            </w:r>
            <w:r w:rsidRPr="00151B7C">
              <w:rPr>
                <w:rFonts w:ascii="Bookman Old Style" w:eastAsia="Times New Roman" w:hAnsi="Bookman Old Style" w:cs="Times New Roman"/>
                <w:b/>
                <w:bCs/>
                <w:shd w:val="clear" w:color="auto" w:fill="FFFFFF" w:themeFill="background1"/>
                <w:lang w:eastAsia="en-IN"/>
              </w:rPr>
              <w:t>No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830" w:rsidRPr="00150308" w:rsidRDefault="00A61830" w:rsidP="00A6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Particulars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830" w:rsidRPr="00150308" w:rsidRDefault="00A6183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Statistics</w:t>
            </w:r>
          </w:p>
        </w:tc>
      </w:tr>
      <w:tr w:rsidR="00150308" w:rsidRPr="00150308" w:rsidTr="008C04B4">
        <w:trPr>
          <w:trHeight w:val="228"/>
          <w:jc w:val="center"/>
        </w:trPr>
        <w:tc>
          <w:tcPr>
            <w:tcW w:w="83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271A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Position as on 3</w:t>
            </w:r>
            <w:r w:rsidR="00CB7ADA"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1</w:t>
            </w: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-0</w:t>
            </w:r>
            <w:r w:rsidR="00BB1CDE"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3-20</w:t>
            </w:r>
            <w:r w:rsidR="00271AE0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20</w:t>
            </w:r>
          </w:p>
        </w:tc>
      </w:tr>
      <w:tr w:rsidR="00150308" w:rsidRPr="00150308" w:rsidTr="008C04B4">
        <w:trPr>
          <w:trHeight w:val="228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 xml:space="preserve">Area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Sq.km.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F61DC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41092</w:t>
            </w:r>
          </w:p>
        </w:tc>
      </w:tr>
      <w:tr w:rsidR="00150308" w:rsidRPr="00150308" w:rsidTr="008C04B4">
        <w:trPr>
          <w:trHeight w:val="228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Districts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Nos.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F61DC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8</w:t>
            </w:r>
          </w:p>
        </w:tc>
      </w:tr>
      <w:tr w:rsidR="00150308" w:rsidRPr="00150308" w:rsidTr="008C04B4">
        <w:trPr>
          <w:trHeight w:val="228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 xml:space="preserve">Population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lakhs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F61DC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207</w:t>
            </w:r>
          </w:p>
        </w:tc>
      </w:tr>
      <w:tr w:rsidR="00150308" w:rsidRPr="00150308" w:rsidTr="008C04B4">
        <w:trPr>
          <w:trHeight w:val="228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4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Zone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Nos.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3E1758" w:rsidP="00F61DC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4</w:t>
            </w:r>
          </w:p>
        </w:tc>
      </w:tr>
      <w:tr w:rsidR="00150308" w:rsidRPr="00150308" w:rsidTr="008C04B4">
        <w:trPr>
          <w:trHeight w:val="67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DTCs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Nos.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7407C9" w:rsidRDefault="00271AE0" w:rsidP="00F61DC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7407C9">
              <w:rPr>
                <w:rFonts w:ascii="Bookman Old Style" w:eastAsia="Times New Roman" w:hAnsi="Bookman Old Style" w:cs="Times New Roman"/>
                <w:lang w:eastAsia="en-IN"/>
              </w:rPr>
              <w:t>381103</w:t>
            </w:r>
          </w:p>
        </w:tc>
      </w:tr>
      <w:tr w:rsidR="00150308" w:rsidRPr="00150308" w:rsidTr="008C04B4">
        <w:trPr>
          <w:trHeight w:val="228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D21" w:rsidRPr="00150308" w:rsidRDefault="003E4D21" w:rsidP="003E4D2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6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D21" w:rsidRPr="00150308" w:rsidRDefault="003E4D21" w:rsidP="003E4D2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 xml:space="preserve">HT lines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D21" w:rsidRPr="00150308" w:rsidRDefault="00BD5F53" w:rsidP="003E4D2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proofErr w:type="spellStart"/>
            <w:proofErr w:type="gramStart"/>
            <w:r>
              <w:rPr>
                <w:rFonts w:ascii="Bookman Old Style" w:eastAsia="Times New Roman" w:hAnsi="Bookman Old Style" w:cs="Times New Roman"/>
                <w:lang w:eastAsia="en-IN"/>
              </w:rPr>
              <w:t>ckt</w:t>
            </w:r>
            <w:proofErr w:type="spellEnd"/>
            <w:proofErr w:type="gramEnd"/>
            <w:r w:rsidR="003E4D21" w:rsidRPr="00150308">
              <w:rPr>
                <w:rFonts w:ascii="Bookman Old Style" w:eastAsia="Times New Roman" w:hAnsi="Bookman Old Style" w:cs="Times New Roman"/>
                <w:lang w:eastAsia="en-IN"/>
              </w:rPr>
              <w:t xml:space="preserve">. </w:t>
            </w:r>
            <w:proofErr w:type="spellStart"/>
            <w:proofErr w:type="gramStart"/>
            <w:r w:rsidR="003E4D21" w:rsidRPr="00150308">
              <w:rPr>
                <w:rFonts w:ascii="Bookman Old Style" w:eastAsia="Times New Roman" w:hAnsi="Bookman Old Style" w:cs="Times New Roman"/>
                <w:lang w:eastAsia="en-IN"/>
              </w:rPr>
              <w:t>kms</w:t>
            </w:r>
            <w:proofErr w:type="spellEnd"/>
            <w:proofErr w:type="gramEnd"/>
            <w:r w:rsidR="003E4D21" w:rsidRPr="00150308">
              <w:rPr>
                <w:rFonts w:ascii="Bookman Old Style" w:eastAsia="Times New Roman" w:hAnsi="Bookman Old Style" w:cs="Times New Roman"/>
                <w:lang w:eastAsia="en-IN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D21" w:rsidRPr="007407C9" w:rsidRDefault="00271AE0" w:rsidP="00152B9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7407C9">
              <w:rPr>
                <w:rFonts w:ascii="Bookman Old Style" w:eastAsia="Times New Roman" w:hAnsi="Bookman Old Style" w:cs="Times New Roman"/>
                <w:lang w:eastAsia="en-IN"/>
              </w:rPr>
              <w:t xml:space="preserve">114640.24 </w:t>
            </w:r>
          </w:p>
        </w:tc>
      </w:tr>
      <w:tr w:rsidR="00150308" w:rsidRPr="00150308" w:rsidTr="008C04B4">
        <w:trPr>
          <w:trHeight w:val="228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7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 xml:space="preserve">LT lines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BD5F53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proofErr w:type="spellStart"/>
            <w:proofErr w:type="gramStart"/>
            <w:r>
              <w:rPr>
                <w:rFonts w:ascii="Bookman Old Style" w:eastAsia="Times New Roman" w:hAnsi="Bookman Old Style" w:cs="Times New Roman"/>
                <w:lang w:eastAsia="en-IN"/>
              </w:rPr>
              <w:t>ckt</w:t>
            </w:r>
            <w:proofErr w:type="spellEnd"/>
            <w:proofErr w:type="gramEnd"/>
            <w:r w:rsidR="00940D50" w:rsidRPr="00150308">
              <w:rPr>
                <w:rFonts w:ascii="Bookman Old Style" w:eastAsia="Times New Roman" w:hAnsi="Bookman Old Style" w:cs="Times New Roman"/>
                <w:lang w:eastAsia="en-IN"/>
              </w:rPr>
              <w:t xml:space="preserve">. </w:t>
            </w:r>
            <w:proofErr w:type="spellStart"/>
            <w:r w:rsidR="00940D50" w:rsidRPr="00150308">
              <w:rPr>
                <w:rFonts w:ascii="Bookman Old Style" w:eastAsia="Times New Roman" w:hAnsi="Bookman Old Style" w:cs="Times New Roman"/>
                <w:lang w:eastAsia="en-IN"/>
              </w:rPr>
              <w:t>kms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D50" w:rsidRPr="007407C9" w:rsidRDefault="00271AE0" w:rsidP="00491C0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7407C9">
              <w:rPr>
                <w:rFonts w:ascii="Bookman Old Style" w:eastAsia="Times New Roman" w:hAnsi="Bookman Old Style" w:cs="Times New Roman"/>
                <w:lang w:eastAsia="en-IN"/>
              </w:rPr>
              <w:t>174580.60</w:t>
            </w:r>
          </w:p>
        </w:tc>
      </w:tr>
      <w:tr w:rsidR="00150308" w:rsidRPr="00150308" w:rsidTr="008C04B4">
        <w:trPr>
          <w:trHeight w:val="228"/>
          <w:jc w:val="center"/>
        </w:trPr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Total employees strength</w:t>
            </w:r>
          </w:p>
        </w:tc>
      </w:tr>
      <w:tr w:rsidR="00150308" w:rsidRPr="00150308" w:rsidTr="008C04B4">
        <w:trPr>
          <w:trHeight w:val="228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0445F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Sanctioned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0D50" w:rsidRPr="00150308" w:rsidRDefault="00271AE0" w:rsidP="001D271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271AE0">
              <w:rPr>
                <w:rFonts w:ascii="Bookman Old Style" w:eastAsia="Times New Roman" w:hAnsi="Bookman Old Style" w:cs="Times New Roman"/>
                <w:lang w:eastAsia="en-IN"/>
              </w:rPr>
              <w:t>24756</w:t>
            </w:r>
          </w:p>
        </w:tc>
      </w:tr>
      <w:tr w:rsidR="00150308" w:rsidRPr="00150308" w:rsidTr="008C04B4">
        <w:trPr>
          <w:trHeight w:val="228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B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0445F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 xml:space="preserve">Working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0D50" w:rsidRPr="00150308" w:rsidRDefault="00271AE0" w:rsidP="000445F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271AE0">
              <w:rPr>
                <w:rFonts w:ascii="Bookman Old Style" w:eastAsia="Times New Roman" w:hAnsi="Bookman Old Style" w:cs="Times New Roman"/>
                <w:lang w:eastAsia="en-IN"/>
              </w:rPr>
              <w:t>15440</w:t>
            </w:r>
          </w:p>
        </w:tc>
      </w:tr>
      <w:tr w:rsidR="00150308" w:rsidRPr="008B60E1" w:rsidTr="008C04B4">
        <w:trPr>
          <w:trHeight w:val="389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8B60E1" w:rsidRDefault="00940D5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8B60E1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8B60E1" w:rsidRDefault="00940D50" w:rsidP="00271A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8B60E1">
              <w:rPr>
                <w:rFonts w:ascii="Bookman Old Style" w:eastAsia="Times New Roman" w:hAnsi="Bookman Old Style" w:cs="Times New Roman"/>
                <w:lang w:eastAsia="en-IN"/>
              </w:rPr>
              <w:t xml:space="preserve">Demand </w:t>
            </w:r>
            <w:r w:rsidR="007E3CF1" w:rsidRPr="008B60E1">
              <w:rPr>
                <w:rFonts w:ascii="Bookman Old Style" w:eastAsia="Times New Roman" w:hAnsi="Bookman Old Style" w:cs="Times New Roman"/>
                <w:lang w:eastAsia="en-IN"/>
              </w:rPr>
              <w:t>(FY-</w:t>
            </w:r>
            <w:r w:rsidR="00271AE0" w:rsidRPr="008B60E1">
              <w:rPr>
                <w:rFonts w:ascii="Bookman Old Style" w:eastAsia="Times New Roman" w:hAnsi="Bookman Old Style" w:cs="Times New Roman"/>
                <w:lang w:eastAsia="en-IN"/>
              </w:rPr>
              <w:t>20</w:t>
            </w:r>
            <w:r w:rsidRPr="008B60E1">
              <w:rPr>
                <w:rFonts w:ascii="Bookman Old Style" w:eastAsia="Times New Roman" w:hAnsi="Bookman Old Style" w:cs="Times New Roman"/>
                <w:lang w:eastAsia="en-IN"/>
              </w:rPr>
              <w:t>) (</w:t>
            </w:r>
            <w:proofErr w:type="spellStart"/>
            <w:r w:rsidRPr="008B60E1">
              <w:rPr>
                <w:rFonts w:ascii="Bookman Old Style" w:eastAsia="Times New Roman" w:hAnsi="Bookman Old Style" w:cs="Times New Roman"/>
                <w:lang w:eastAsia="en-IN"/>
              </w:rPr>
              <w:t>excld</w:t>
            </w:r>
            <w:proofErr w:type="spellEnd"/>
            <w:r w:rsidRPr="008B60E1">
              <w:rPr>
                <w:rFonts w:ascii="Bookman Old Style" w:eastAsia="Times New Roman" w:hAnsi="Bookman Old Style" w:cs="Times New Roman"/>
                <w:lang w:eastAsia="en-IN"/>
              </w:rPr>
              <w:t>. Other income)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8B60E1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8B60E1">
              <w:rPr>
                <w:rFonts w:ascii="Bookman Old Style" w:eastAsia="Times New Roman" w:hAnsi="Bookman Old Style" w:cs="Times New Roman"/>
                <w:lang w:eastAsia="en-IN"/>
              </w:rPr>
              <w:t xml:space="preserve">Rs. in </w:t>
            </w:r>
            <w:proofErr w:type="spellStart"/>
            <w:r w:rsidRPr="008B60E1">
              <w:rPr>
                <w:rFonts w:ascii="Bookman Old Style" w:eastAsia="Times New Roman" w:hAnsi="Bookman Old Style" w:cs="Times New Roman"/>
                <w:lang w:eastAsia="en-IN"/>
              </w:rPr>
              <w:t>Crs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7F486A" w:rsidRDefault="00921AA0" w:rsidP="00921AA0">
            <w:pPr>
              <w:spacing w:after="0" w:line="240" w:lineRule="auto"/>
              <w:jc w:val="right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21170.69</w:t>
            </w:r>
          </w:p>
        </w:tc>
      </w:tr>
      <w:tr w:rsidR="00150308" w:rsidRPr="008B60E1" w:rsidTr="008C04B4">
        <w:trPr>
          <w:trHeight w:val="389"/>
          <w:jc w:val="center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10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7E3CF1" w:rsidP="00271AE0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Collection (FY-</w:t>
            </w:r>
            <w:r w:rsidR="00271AE0">
              <w:rPr>
                <w:rFonts w:ascii="Bookman Old Style" w:eastAsia="Times New Roman" w:hAnsi="Bookman Old Style" w:cs="Times New Roman"/>
                <w:lang w:eastAsia="en-IN"/>
              </w:rPr>
              <w:t>20</w:t>
            </w:r>
            <w:r w:rsidR="00940D50" w:rsidRPr="00150308">
              <w:rPr>
                <w:rFonts w:ascii="Bookman Old Style" w:eastAsia="Times New Roman" w:hAnsi="Bookman Old Style" w:cs="Times New Roman"/>
                <w:lang w:eastAsia="en-IN"/>
              </w:rPr>
              <w:t>) (</w:t>
            </w:r>
            <w:proofErr w:type="spellStart"/>
            <w:r w:rsidR="00940D50" w:rsidRPr="00150308">
              <w:rPr>
                <w:rFonts w:ascii="Bookman Old Style" w:eastAsia="Times New Roman" w:hAnsi="Bookman Old Style" w:cs="Times New Roman"/>
                <w:lang w:eastAsia="en-IN"/>
              </w:rPr>
              <w:t>excld</w:t>
            </w:r>
            <w:proofErr w:type="spellEnd"/>
            <w:r w:rsidR="00940D50" w:rsidRPr="00150308">
              <w:rPr>
                <w:rFonts w:ascii="Bookman Old Style" w:eastAsia="Times New Roman" w:hAnsi="Bookman Old Style" w:cs="Times New Roman"/>
                <w:lang w:eastAsia="en-IN"/>
              </w:rPr>
              <w:t>. Other income)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0D50" w:rsidRPr="00150308" w:rsidRDefault="00940D50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 xml:space="preserve">Rs. in </w:t>
            </w:r>
            <w:proofErr w:type="spellStart"/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Crs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D50" w:rsidRPr="007F486A" w:rsidRDefault="00921AA0" w:rsidP="008B60E1">
            <w:pPr>
              <w:spacing w:after="0" w:line="240" w:lineRule="auto"/>
              <w:jc w:val="right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20525.10</w:t>
            </w:r>
          </w:p>
        </w:tc>
      </w:tr>
      <w:tr w:rsidR="00150308" w:rsidRPr="00150308" w:rsidTr="008C04B4">
        <w:trPr>
          <w:trHeight w:val="3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5F4" w:rsidRPr="00150308" w:rsidRDefault="00D275F4" w:rsidP="005A7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b/>
                <w:bCs/>
                <w:lang w:eastAsia="en-IN"/>
              </w:rPr>
              <w:t>11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5F4" w:rsidRPr="00150308" w:rsidRDefault="00D275F4" w:rsidP="00B21E7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Total Assets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5F4" w:rsidRPr="00150308" w:rsidRDefault="00D275F4" w:rsidP="005A7992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en-IN"/>
              </w:rPr>
            </w:pPr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 xml:space="preserve">Rs. in </w:t>
            </w:r>
            <w:proofErr w:type="spellStart"/>
            <w:r w:rsidRPr="00150308">
              <w:rPr>
                <w:rFonts w:ascii="Bookman Old Style" w:eastAsia="Times New Roman" w:hAnsi="Bookman Old Style" w:cs="Times New Roman"/>
                <w:lang w:eastAsia="en-IN"/>
              </w:rPr>
              <w:t>Crs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5F4" w:rsidRPr="007F486A" w:rsidRDefault="00731034" w:rsidP="00731034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25419.31</w:t>
            </w:r>
          </w:p>
        </w:tc>
      </w:tr>
    </w:tbl>
    <w:p w:rsidR="00940D50" w:rsidRDefault="00940D50" w:rsidP="00940D50"/>
    <w:p w:rsidR="00947C07" w:rsidRPr="008F2552" w:rsidRDefault="00947C07" w:rsidP="00947C07">
      <w:pPr>
        <w:pStyle w:val="Heading1"/>
        <w:tabs>
          <w:tab w:val="left" w:pos="4786"/>
        </w:tabs>
        <w:spacing w:line="360" w:lineRule="auto"/>
        <w:ind w:left="0" w:firstLine="0"/>
        <w:rPr>
          <w:rFonts w:ascii="Bookman Old Style" w:hAnsi="Bookman Old Style" w:cstheme="majorBidi"/>
          <w:color w:val="000000" w:themeColor="text1"/>
          <w:sz w:val="28"/>
          <w:szCs w:val="28"/>
          <w:u w:val="single"/>
        </w:rPr>
      </w:pPr>
      <w:r w:rsidRPr="008F2552">
        <w:rPr>
          <w:rFonts w:ascii="Bookman Old Style" w:hAnsi="Bookman Old Style" w:cstheme="majorBidi"/>
          <w:color w:val="000000" w:themeColor="text1"/>
          <w:sz w:val="28"/>
          <w:szCs w:val="28"/>
          <w:u w:val="single"/>
        </w:rPr>
        <w:t>BESCOM AT A GLANCE:</w:t>
      </w:r>
    </w:p>
    <w:p w:rsidR="00947C07" w:rsidRDefault="00947C07" w:rsidP="00947C07">
      <w:pPr>
        <w:spacing w:line="360" w:lineRule="exact"/>
        <w:rPr>
          <w:rFonts w:ascii="Bookman Old Style" w:hAnsi="Bookman Old Style" w:cs="Arial"/>
          <w:b/>
          <w:sz w:val="24"/>
          <w:szCs w:val="24"/>
        </w:rPr>
      </w:pPr>
      <w:r w:rsidRPr="00741B37">
        <w:rPr>
          <w:rFonts w:ascii="Bookman Old Style" w:hAnsi="Bookman Old Style" w:cs="Arial"/>
          <w:b/>
          <w:sz w:val="24"/>
          <w:szCs w:val="24"/>
        </w:rPr>
        <w:t>Number of Consumers:</w:t>
      </w:r>
    </w:p>
    <w:p w:rsidR="00947C07" w:rsidRPr="003951CE" w:rsidRDefault="00947C07" w:rsidP="00947C07">
      <w:pPr>
        <w:pStyle w:val="BodyText"/>
        <w:ind w:right="-43"/>
        <w:jc w:val="center"/>
        <w:rPr>
          <w:rFonts w:ascii="Bookman Old Style" w:hAnsi="Bookman Old Style"/>
          <w:b/>
        </w:rPr>
      </w:pPr>
      <w:r w:rsidRPr="003951CE">
        <w:rPr>
          <w:rFonts w:ascii="Bookman Old Style" w:hAnsi="Bookman Old Style"/>
          <w:b/>
        </w:rPr>
        <w:t>Table: 1.2</w:t>
      </w:r>
    </w:p>
    <w:p w:rsidR="00947C07" w:rsidRPr="003951CE" w:rsidRDefault="00947C07" w:rsidP="00947C07">
      <w:pPr>
        <w:pStyle w:val="BodyText"/>
        <w:ind w:left="3600" w:right="-43" w:firstLine="720"/>
        <w:rPr>
          <w:rFonts w:ascii="Bookman Old Style" w:hAnsi="Bookman Old Style"/>
          <w:b/>
        </w:rPr>
      </w:pPr>
      <w:r w:rsidRPr="003951CE">
        <w:rPr>
          <w:rFonts w:ascii="Bookman Old Style" w:hAnsi="Bookman Old Style"/>
          <w:b/>
        </w:rPr>
        <w:t xml:space="preserve">          </w:t>
      </w:r>
      <w:r w:rsidRPr="003951CE">
        <w:rPr>
          <w:rFonts w:asciiTheme="majorHAnsi" w:hAnsiTheme="majorHAnsi"/>
          <w:sz w:val="24"/>
        </w:rPr>
        <w:tab/>
      </w:r>
      <w:r w:rsidRPr="003951CE">
        <w:rPr>
          <w:rFonts w:asciiTheme="majorHAnsi" w:hAnsiTheme="majorHAnsi"/>
          <w:sz w:val="24"/>
        </w:rPr>
        <w:tab/>
      </w:r>
      <w:r w:rsidR="003951CE">
        <w:rPr>
          <w:rFonts w:asciiTheme="majorHAnsi" w:hAnsiTheme="majorHAnsi"/>
        </w:rPr>
        <w:tab/>
      </w:r>
      <w:r w:rsidR="00BB1CDE">
        <w:rPr>
          <w:rFonts w:ascii="Bookman Old Style" w:hAnsi="Bookman Old Style"/>
          <w:b/>
        </w:rPr>
        <w:t>As on 31.03.20</w:t>
      </w:r>
      <w:r w:rsidR="0094538B">
        <w:rPr>
          <w:rFonts w:ascii="Bookman Old Style" w:hAnsi="Bookman Old Style"/>
          <w:b/>
        </w:rPr>
        <w:t>20</w:t>
      </w:r>
    </w:p>
    <w:tbl>
      <w:tblPr>
        <w:tblW w:w="10380" w:type="dxa"/>
        <w:tblInd w:w="-318" w:type="dxa"/>
        <w:tblLook w:val="04A0" w:firstRow="1" w:lastRow="0" w:firstColumn="1" w:lastColumn="0" w:noHBand="0" w:noVBand="1"/>
      </w:tblPr>
      <w:tblGrid>
        <w:gridCol w:w="1437"/>
        <w:gridCol w:w="1210"/>
        <w:gridCol w:w="998"/>
        <w:gridCol w:w="998"/>
        <w:gridCol w:w="922"/>
        <w:gridCol w:w="922"/>
        <w:gridCol w:w="922"/>
        <w:gridCol w:w="922"/>
        <w:gridCol w:w="922"/>
        <w:gridCol w:w="1172"/>
      </w:tblGrid>
      <w:tr w:rsidR="000A7D07" w:rsidRPr="000A7D07" w:rsidTr="000A7D07">
        <w:trPr>
          <w:trHeight w:val="36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Tariff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LT1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LT2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LT3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LT4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LT5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LT6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LT7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HT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Total</w:t>
            </w:r>
          </w:p>
        </w:tc>
      </w:tr>
      <w:tr w:rsidR="000A7D07" w:rsidRPr="000A7D07" w:rsidTr="000A7D07">
        <w:trPr>
          <w:trHeight w:val="36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CONSUMERS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844227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8285969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1143767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935919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218866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152225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766515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17925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12365413</w:t>
            </w:r>
          </w:p>
        </w:tc>
      </w:tr>
      <w:tr w:rsidR="000A7D07" w:rsidRPr="000A7D07" w:rsidTr="000A7D07">
        <w:trPr>
          <w:trHeight w:val="36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PERCENT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6.83%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67.01%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9.25%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7.57%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1.77%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1.23%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6.20%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0.14%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7D07" w:rsidRPr="000A7D07" w:rsidRDefault="000A7D07" w:rsidP="000A7D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A7D07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100.00%</w:t>
            </w:r>
          </w:p>
        </w:tc>
      </w:tr>
    </w:tbl>
    <w:p w:rsidR="004A6156" w:rsidRDefault="004A6156" w:rsidP="00947C07">
      <w:pPr>
        <w:pStyle w:val="BodyText"/>
        <w:ind w:left="3600" w:right="-43" w:firstLine="720"/>
        <w:rPr>
          <w:rFonts w:ascii="Bookman Old Style" w:hAnsi="Bookman Old Style"/>
          <w:b/>
          <w:sz w:val="20"/>
          <w:szCs w:val="26"/>
        </w:rPr>
      </w:pPr>
    </w:p>
    <w:p w:rsidR="00781735" w:rsidRDefault="00781735" w:rsidP="00947C07">
      <w:pPr>
        <w:pStyle w:val="BodyText"/>
        <w:ind w:left="3600" w:right="-43" w:firstLine="720"/>
        <w:rPr>
          <w:rFonts w:ascii="Bookman Old Style" w:hAnsi="Bookman Old Style"/>
          <w:b/>
          <w:sz w:val="20"/>
          <w:szCs w:val="26"/>
        </w:rPr>
      </w:pPr>
    </w:p>
    <w:p w:rsidR="00781735" w:rsidRPr="0017121F" w:rsidRDefault="00781735" w:rsidP="00947C07">
      <w:pPr>
        <w:pStyle w:val="BodyText"/>
        <w:ind w:left="3600" w:right="-43" w:firstLine="720"/>
        <w:rPr>
          <w:rFonts w:ascii="Bookman Old Style" w:hAnsi="Bookman Old Style"/>
          <w:b/>
          <w:sz w:val="20"/>
          <w:szCs w:val="26"/>
        </w:rPr>
      </w:pPr>
    </w:p>
    <w:p w:rsidR="00947C07" w:rsidRDefault="000A7D07" w:rsidP="00947C07">
      <w:pPr>
        <w:jc w:val="center"/>
      </w:pPr>
      <w:r>
        <w:rPr>
          <w:noProof/>
          <w:lang w:eastAsia="en-IN"/>
        </w:rPr>
        <w:drawing>
          <wp:inline distT="0" distB="0" distL="0" distR="0" wp14:anchorId="0CB35E95" wp14:editId="17BFEC5E">
            <wp:extent cx="5943600" cy="50768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3ED3" w:rsidRDefault="00433ED3" w:rsidP="00947C07">
      <w:pPr>
        <w:spacing w:line="360" w:lineRule="exact"/>
        <w:rPr>
          <w:rFonts w:ascii="Bookman Old Style" w:hAnsi="Bookman Old Style" w:cs="Arial"/>
          <w:b/>
          <w:sz w:val="28"/>
          <w:szCs w:val="24"/>
        </w:rPr>
      </w:pPr>
    </w:p>
    <w:p w:rsidR="00BE0CB4" w:rsidRDefault="00BE0CB4" w:rsidP="00947C07">
      <w:pPr>
        <w:spacing w:line="360" w:lineRule="exact"/>
        <w:rPr>
          <w:rFonts w:ascii="Bookman Old Style" w:hAnsi="Bookman Old Style" w:cs="Arial"/>
          <w:b/>
          <w:sz w:val="28"/>
          <w:szCs w:val="24"/>
        </w:rPr>
      </w:pPr>
    </w:p>
    <w:p w:rsidR="00947C07" w:rsidRPr="00C25E17" w:rsidRDefault="00947C07" w:rsidP="00947C07">
      <w:pPr>
        <w:spacing w:line="360" w:lineRule="exact"/>
        <w:rPr>
          <w:rFonts w:ascii="Bookman Old Style" w:hAnsi="Bookman Old Style" w:cs="Arial"/>
          <w:b/>
          <w:sz w:val="28"/>
          <w:szCs w:val="24"/>
        </w:rPr>
      </w:pPr>
      <w:r w:rsidRPr="00C25E17">
        <w:rPr>
          <w:rFonts w:ascii="Bookman Old Style" w:hAnsi="Bookman Old Style" w:cs="Arial"/>
          <w:b/>
          <w:sz w:val="28"/>
          <w:szCs w:val="24"/>
        </w:rPr>
        <w:lastRenderedPageBreak/>
        <w:t>ENERGY Consumption for FY-</w:t>
      </w:r>
      <w:r w:rsidR="001306DB">
        <w:rPr>
          <w:rFonts w:ascii="Bookman Old Style" w:hAnsi="Bookman Old Style" w:cs="Arial"/>
          <w:b/>
          <w:sz w:val="28"/>
          <w:szCs w:val="24"/>
        </w:rPr>
        <w:t>20</w:t>
      </w:r>
      <w:r w:rsidRPr="00C25E17">
        <w:rPr>
          <w:rFonts w:ascii="Bookman Old Style" w:hAnsi="Bookman Old Style" w:cs="Arial"/>
          <w:b/>
          <w:sz w:val="28"/>
          <w:szCs w:val="24"/>
        </w:rPr>
        <w:t>:</w:t>
      </w:r>
    </w:p>
    <w:p w:rsidR="00947C07" w:rsidRDefault="00947C07" w:rsidP="004A6156">
      <w:pPr>
        <w:pStyle w:val="BodyText"/>
        <w:ind w:left="4320" w:right="-43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Table: 1.3</w:t>
      </w:r>
      <w:r w:rsidR="004A6156" w:rsidRPr="004A6156">
        <w:rPr>
          <w:rFonts w:ascii="Bookman Old Style" w:hAnsi="Bookman Old Style"/>
          <w:b/>
          <w:sz w:val="20"/>
          <w:szCs w:val="26"/>
        </w:rPr>
        <w:t xml:space="preserve"> </w:t>
      </w:r>
      <w:r w:rsidR="00BB1CDE">
        <w:rPr>
          <w:rFonts w:ascii="Bookman Old Style" w:hAnsi="Bookman Old Style"/>
          <w:b/>
          <w:sz w:val="20"/>
          <w:szCs w:val="26"/>
        </w:rPr>
        <w:tab/>
      </w:r>
      <w:r w:rsidR="00BB1CDE">
        <w:rPr>
          <w:rFonts w:ascii="Bookman Old Style" w:hAnsi="Bookman Old Style"/>
          <w:b/>
          <w:sz w:val="20"/>
          <w:szCs w:val="26"/>
        </w:rPr>
        <w:tab/>
      </w:r>
      <w:r w:rsidR="00BB1CDE">
        <w:rPr>
          <w:rFonts w:ascii="Bookman Old Style" w:hAnsi="Bookman Old Style"/>
          <w:b/>
          <w:sz w:val="20"/>
          <w:szCs w:val="26"/>
        </w:rPr>
        <w:tab/>
      </w:r>
      <w:r w:rsidR="00BB1CDE">
        <w:rPr>
          <w:rFonts w:ascii="Bookman Old Style" w:hAnsi="Bookman Old Style"/>
          <w:b/>
          <w:sz w:val="20"/>
          <w:szCs w:val="26"/>
        </w:rPr>
        <w:tab/>
      </w:r>
      <w:proofErr w:type="gramStart"/>
      <w:r w:rsidR="00BB1CDE">
        <w:rPr>
          <w:rFonts w:ascii="Bookman Old Style" w:hAnsi="Bookman Old Style"/>
          <w:b/>
          <w:sz w:val="20"/>
          <w:szCs w:val="26"/>
        </w:rPr>
        <w:t>As</w:t>
      </w:r>
      <w:proofErr w:type="gramEnd"/>
      <w:r w:rsidR="00BB1CDE">
        <w:rPr>
          <w:rFonts w:ascii="Bookman Old Style" w:hAnsi="Bookman Old Style"/>
          <w:b/>
          <w:sz w:val="20"/>
          <w:szCs w:val="26"/>
        </w:rPr>
        <w:t xml:space="preserve"> on 31.03.20</w:t>
      </w:r>
      <w:r w:rsidR="00A509BC">
        <w:rPr>
          <w:rFonts w:ascii="Bookman Old Style" w:hAnsi="Bookman Old Style"/>
          <w:b/>
          <w:sz w:val="20"/>
          <w:szCs w:val="26"/>
        </w:rPr>
        <w:t>20</w:t>
      </w:r>
    </w:p>
    <w:tbl>
      <w:tblPr>
        <w:tblW w:w="10372" w:type="dxa"/>
        <w:tblInd w:w="-176" w:type="dxa"/>
        <w:tblLook w:val="04A0" w:firstRow="1" w:lastRow="0" w:firstColumn="1" w:lastColumn="0" w:noHBand="0" w:noVBand="1"/>
      </w:tblPr>
      <w:tblGrid>
        <w:gridCol w:w="1699"/>
        <w:gridCol w:w="832"/>
        <w:gridCol w:w="967"/>
        <w:gridCol w:w="1072"/>
        <w:gridCol w:w="967"/>
        <w:gridCol w:w="967"/>
        <w:gridCol w:w="967"/>
        <w:gridCol w:w="850"/>
        <w:gridCol w:w="967"/>
        <w:gridCol w:w="1084"/>
      </w:tblGrid>
      <w:tr w:rsidR="00226775" w:rsidRPr="00226775" w:rsidTr="00226775">
        <w:trPr>
          <w:trHeight w:val="311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TARIFF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LT1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LT2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LT3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LT4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LT5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LT6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LT7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HT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Total</w:t>
            </w:r>
          </w:p>
        </w:tc>
      </w:tr>
      <w:tr w:rsidR="00226775" w:rsidRPr="00226775" w:rsidTr="00226775">
        <w:trPr>
          <w:trHeight w:val="311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CONSUMPTION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224.43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7342.39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2240.82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6923.38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1217.67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1842.02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205.45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7838.44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27834.60</w:t>
            </w:r>
          </w:p>
        </w:tc>
      </w:tr>
      <w:tr w:rsidR="00226775" w:rsidRPr="00226775" w:rsidTr="00226775">
        <w:trPr>
          <w:trHeight w:val="311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b/>
                <w:bCs/>
                <w:sz w:val="18"/>
                <w:szCs w:val="20"/>
                <w:lang w:eastAsia="en-IN"/>
              </w:rPr>
              <w:t>PERCENT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0.81%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26.38%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8.05%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24.87%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4.37%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6.62%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0.74%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28.16%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547" w:rsidRPr="00226775" w:rsidRDefault="00FA6547" w:rsidP="00FA65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</w:pPr>
            <w:r w:rsidRPr="00226775">
              <w:rPr>
                <w:rFonts w:ascii="Bookman Old Style" w:eastAsia="Times New Roman" w:hAnsi="Bookman Old Style" w:cs="Calibri"/>
                <w:sz w:val="18"/>
                <w:szCs w:val="20"/>
                <w:lang w:eastAsia="en-IN"/>
              </w:rPr>
              <w:t>100.00%</w:t>
            </w:r>
          </w:p>
        </w:tc>
      </w:tr>
    </w:tbl>
    <w:p w:rsidR="004A6156" w:rsidRDefault="004A6156" w:rsidP="00947C07">
      <w:pPr>
        <w:pStyle w:val="BodyText"/>
        <w:ind w:right="-43"/>
        <w:jc w:val="center"/>
        <w:rPr>
          <w:rFonts w:ascii="Bookman Old Style" w:hAnsi="Bookman Old Style"/>
          <w:b/>
          <w:sz w:val="20"/>
        </w:rPr>
      </w:pPr>
    </w:p>
    <w:p w:rsidR="00781735" w:rsidRDefault="00C723C6" w:rsidP="00947C07">
      <w:pPr>
        <w:pStyle w:val="BodyText"/>
        <w:ind w:right="-43"/>
        <w:jc w:val="center"/>
        <w:rPr>
          <w:rFonts w:ascii="Bookman Old Style" w:hAnsi="Bookman Old Style"/>
          <w:b/>
          <w:sz w:val="20"/>
        </w:rPr>
      </w:pPr>
      <w:r>
        <w:rPr>
          <w:noProof/>
          <w:lang w:val="en-IN" w:eastAsia="en-IN"/>
        </w:rPr>
        <w:drawing>
          <wp:inline distT="0" distB="0" distL="0" distR="0" wp14:anchorId="78D26E13" wp14:editId="6E8E6D1B">
            <wp:extent cx="5667375" cy="363855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1735" w:rsidRDefault="00781735" w:rsidP="00947C07">
      <w:pPr>
        <w:pStyle w:val="BodyText"/>
        <w:ind w:right="-43"/>
        <w:jc w:val="center"/>
        <w:rPr>
          <w:rFonts w:ascii="Bookman Old Style" w:hAnsi="Bookman Old Style"/>
          <w:b/>
          <w:sz w:val="20"/>
        </w:rPr>
      </w:pPr>
    </w:p>
    <w:p w:rsidR="00781735" w:rsidRDefault="00781735" w:rsidP="00947C07">
      <w:pPr>
        <w:pStyle w:val="BodyText"/>
        <w:ind w:right="-43"/>
        <w:jc w:val="center"/>
        <w:rPr>
          <w:rFonts w:ascii="Bookman Old Style" w:hAnsi="Bookman Old Style"/>
          <w:b/>
          <w:sz w:val="20"/>
        </w:rPr>
      </w:pPr>
    </w:p>
    <w:p w:rsidR="00192E18" w:rsidRPr="00804916" w:rsidRDefault="00192E18" w:rsidP="009530FD">
      <w:pPr>
        <w:spacing w:line="360" w:lineRule="exact"/>
        <w:ind w:left="720" w:hanging="436"/>
        <w:rPr>
          <w:rFonts w:ascii="Bookman Old Style" w:hAnsi="Bookman Old Style" w:cs="Arial"/>
          <w:b/>
          <w:sz w:val="28"/>
          <w:szCs w:val="28"/>
        </w:rPr>
      </w:pPr>
      <w:r w:rsidRPr="00C96789">
        <w:rPr>
          <w:rFonts w:ascii="Bookman Old Style" w:hAnsi="Bookman Old Style" w:cs="Arial"/>
          <w:b/>
          <w:sz w:val="28"/>
          <w:szCs w:val="28"/>
        </w:rPr>
        <w:t xml:space="preserve">Increase in </w:t>
      </w:r>
      <w:r w:rsidR="00B57B8B" w:rsidRPr="00C96789">
        <w:rPr>
          <w:rFonts w:ascii="Bookman Old Style" w:hAnsi="Bookman Old Style" w:cs="Arial"/>
          <w:b/>
          <w:sz w:val="28"/>
          <w:szCs w:val="28"/>
        </w:rPr>
        <w:t>Energy Consumption</w:t>
      </w:r>
      <w:r w:rsidRPr="00C96789">
        <w:rPr>
          <w:rFonts w:ascii="Bookman Old Style" w:hAnsi="Bookman Old Style" w:cs="Arial"/>
          <w:b/>
          <w:sz w:val="28"/>
          <w:szCs w:val="28"/>
        </w:rPr>
        <w:t xml:space="preserve"> from FY-</w:t>
      </w:r>
      <w:r w:rsidR="003763CD">
        <w:rPr>
          <w:rFonts w:ascii="Bookman Old Style" w:hAnsi="Bookman Old Style" w:cs="Arial"/>
          <w:b/>
          <w:sz w:val="28"/>
          <w:szCs w:val="28"/>
        </w:rPr>
        <w:t>19 to FY-20</w:t>
      </w:r>
      <w:r w:rsidR="00B57B8B" w:rsidRPr="00C96789">
        <w:rPr>
          <w:rFonts w:ascii="Bookman Old Style" w:hAnsi="Bookman Old Style" w:cs="Arial"/>
          <w:b/>
          <w:sz w:val="28"/>
          <w:szCs w:val="28"/>
        </w:rPr>
        <w:t>:</w:t>
      </w:r>
      <w:r w:rsidR="00D638B9">
        <w:rPr>
          <w:rFonts w:ascii="Bookman Old Style" w:hAnsi="Bookman Old Style" w:cs="Arial"/>
          <w:b/>
          <w:sz w:val="24"/>
          <w:szCs w:val="24"/>
        </w:rPr>
        <w:tab/>
      </w:r>
      <w:r w:rsidR="00D638B9">
        <w:rPr>
          <w:rFonts w:ascii="Bookman Old Style" w:hAnsi="Bookman Old Style" w:cs="Arial"/>
          <w:b/>
          <w:sz w:val="24"/>
          <w:szCs w:val="24"/>
        </w:rPr>
        <w:tab/>
      </w:r>
      <w:r w:rsidR="00D638B9">
        <w:rPr>
          <w:rFonts w:ascii="Bookman Old Style" w:hAnsi="Bookman Old Style" w:cs="Arial"/>
          <w:b/>
          <w:sz w:val="24"/>
          <w:szCs w:val="24"/>
        </w:rPr>
        <w:tab/>
      </w:r>
      <w:r w:rsidR="00D638B9">
        <w:rPr>
          <w:rFonts w:ascii="Bookman Old Style" w:hAnsi="Bookman Old Style" w:cs="Arial"/>
          <w:b/>
          <w:sz w:val="24"/>
          <w:szCs w:val="24"/>
        </w:rPr>
        <w:tab/>
      </w:r>
      <w:r w:rsidR="00D638B9">
        <w:rPr>
          <w:rFonts w:ascii="Bookman Old Style" w:hAnsi="Bookman Old Style" w:cs="Arial"/>
          <w:b/>
          <w:sz w:val="24"/>
          <w:szCs w:val="24"/>
        </w:rPr>
        <w:tab/>
      </w:r>
      <w:r w:rsidR="00284A41">
        <w:rPr>
          <w:rFonts w:ascii="Bookman Old Style" w:hAnsi="Bookman Old Style" w:cs="Arial"/>
          <w:b/>
          <w:sz w:val="24"/>
          <w:szCs w:val="24"/>
        </w:rPr>
        <w:t xml:space="preserve">     </w:t>
      </w:r>
      <w:r w:rsidR="00883A25">
        <w:rPr>
          <w:rFonts w:ascii="Bookman Old Style" w:hAnsi="Bookman Old Style" w:cs="Arial"/>
          <w:b/>
          <w:sz w:val="24"/>
          <w:szCs w:val="24"/>
        </w:rPr>
        <w:t xml:space="preserve">     </w:t>
      </w:r>
      <w:r w:rsidR="00284A4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638B9" w:rsidRPr="00883A25">
        <w:rPr>
          <w:rFonts w:ascii="Bookman Old Style" w:hAnsi="Bookman Old Style" w:cs="Arial"/>
          <w:b/>
          <w:sz w:val="20"/>
          <w:szCs w:val="20"/>
        </w:rPr>
        <w:t>Table 1.</w:t>
      </w:r>
      <w:r w:rsidR="00315F2B">
        <w:rPr>
          <w:rFonts w:ascii="Bookman Old Style" w:hAnsi="Bookman Old Style" w:cs="Arial"/>
          <w:b/>
          <w:sz w:val="20"/>
          <w:szCs w:val="20"/>
        </w:rPr>
        <w:t>4</w:t>
      </w:r>
      <w:r w:rsidR="00D638B9" w:rsidRPr="00883A25">
        <w:rPr>
          <w:rFonts w:ascii="Bookman Old Style" w:hAnsi="Bookman Old Style" w:cs="Arial"/>
          <w:b/>
          <w:sz w:val="20"/>
          <w:szCs w:val="20"/>
        </w:rPr>
        <w:t xml:space="preserve">                               </w:t>
      </w:r>
      <w:r w:rsidR="00883A25">
        <w:rPr>
          <w:rFonts w:ascii="Bookman Old Style" w:hAnsi="Bookman Old Style" w:cs="Arial"/>
          <w:b/>
          <w:sz w:val="20"/>
          <w:szCs w:val="20"/>
        </w:rPr>
        <w:t xml:space="preserve">    </w:t>
      </w:r>
      <w:r w:rsidR="00D638B9" w:rsidRPr="00883A25">
        <w:rPr>
          <w:rFonts w:ascii="Bookman Old Style" w:hAnsi="Bookman Old Style" w:cs="Arial"/>
          <w:b/>
          <w:sz w:val="20"/>
          <w:szCs w:val="20"/>
        </w:rPr>
        <w:t xml:space="preserve">         </w:t>
      </w:r>
      <w:r w:rsidRPr="00883A25">
        <w:rPr>
          <w:rFonts w:ascii="Bookman Old Style" w:hAnsi="Bookman Old Style" w:cs="Arial"/>
          <w:b/>
          <w:sz w:val="20"/>
          <w:szCs w:val="20"/>
        </w:rPr>
        <w:t xml:space="preserve">In </w:t>
      </w:r>
      <w:r w:rsidR="00343A8C">
        <w:rPr>
          <w:rFonts w:ascii="Bookman Old Style" w:hAnsi="Bookman Old Style" w:cs="Arial"/>
          <w:b/>
          <w:sz w:val="20"/>
          <w:szCs w:val="20"/>
        </w:rPr>
        <w:t>MU</w:t>
      </w:r>
    </w:p>
    <w:tbl>
      <w:tblPr>
        <w:tblW w:w="9154" w:type="dxa"/>
        <w:tblInd w:w="93" w:type="dxa"/>
        <w:tblLook w:val="04A0" w:firstRow="1" w:lastRow="0" w:firstColumn="1" w:lastColumn="0" w:noHBand="0" w:noVBand="1"/>
      </w:tblPr>
      <w:tblGrid>
        <w:gridCol w:w="2585"/>
        <w:gridCol w:w="1992"/>
        <w:gridCol w:w="1992"/>
        <w:gridCol w:w="2585"/>
      </w:tblGrid>
      <w:tr w:rsidR="00BE0CB4" w:rsidRPr="00BE0CB4" w:rsidTr="00281551">
        <w:trPr>
          <w:trHeight w:val="66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Tariff Category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FY-19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FY-20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Increase from FY-19 to FY-20</w:t>
            </w:r>
          </w:p>
        </w:tc>
      </w:tr>
      <w:tr w:rsidR="00BE0CB4" w:rsidRPr="00BE0CB4" w:rsidTr="00281551">
        <w:trPr>
          <w:trHeight w:val="33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LT Domestic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7187.67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7566.82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379.15</w:t>
            </w:r>
          </w:p>
        </w:tc>
      </w:tr>
      <w:tr w:rsidR="00BE0CB4" w:rsidRPr="00BE0CB4" w:rsidTr="00281551">
        <w:trPr>
          <w:trHeight w:val="33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LT Commercial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2083.65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2240.82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157.17</w:t>
            </w:r>
          </w:p>
        </w:tc>
      </w:tr>
      <w:tr w:rsidR="00BE0CB4" w:rsidRPr="00BE0CB4" w:rsidTr="00281551">
        <w:trPr>
          <w:trHeight w:val="33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LT Agriculture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7208.92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6923.38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-285.54</w:t>
            </w:r>
          </w:p>
        </w:tc>
      </w:tr>
      <w:tr w:rsidR="00BE0CB4" w:rsidRPr="00BE0CB4" w:rsidTr="00281551">
        <w:trPr>
          <w:trHeight w:val="33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LT Others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1828.60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2047.47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218.87</w:t>
            </w:r>
          </w:p>
        </w:tc>
      </w:tr>
      <w:tr w:rsidR="00BE0CB4" w:rsidRPr="00BE0CB4" w:rsidTr="00281551">
        <w:trPr>
          <w:trHeight w:val="33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LT Industrial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1243.08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1217.67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-25.41</w:t>
            </w:r>
          </w:p>
        </w:tc>
      </w:tr>
      <w:tr w:rsidR="00BE0CB4" w:rsidRPr="00BE0CB4" w:rsidTr="00281551">
        <w:trPr>
          <w:trHeight w:val="33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HT Industrial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4512.96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4173.06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-339.90</w:t>
            </w:r>
          </w:p>
        </w:tc>
      </w:tr>
      <w:tr w:rsidR="00BE0CB4" w:rsidRPr="00BE0CB4" w:rsidTr="00281551">
        <w:trPr>
          <w:trHeight w:val="33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HT Commercial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2769.86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2677.14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-92.72</w:t>
            </w:r>
          </w:p>
        </w:tc>
      </w:tr>
      <w:tr w:rsidR="00BE0CB4" w:rsidRPr="00BE0CB4" w:rsidTr="00281551">
        <w:trPr>
          <w:trHeight w:val="33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HT Others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927.74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988.24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60.50</w:t>
            </w:r>
          </w:p>
        </w:tc>
      </w:tr>
      <w:tr w:rsidR="00BE0CB4" w:rsidRPr="00BE0CB4" w:rsidTr="00281551">
        <w:trPr>
          <w:trHeight w:val="33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Total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27762.47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27834.60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B4" w:rsidRPr="00BE0CB4" w:rsidRDefault="00BE0CB4" w:rsidP="00BE0CB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BE0CB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72.13</w:t>
            </w:r>
          </w:p>
        </w:tc>
      </w:tr>
    </w:tbl>
    <w:p w:rsidR="00281551" w:rsidRDefault="00281551" w:rsidP="00C96789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C96789" w:rsidRDefault="005A707C" w:rsidP="00C96789">
      <w:pPr>
        <w:jc w:val="both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lastRenderedPageBreak/>
        <w:t xml:space="preserve">Comparison of </w:t>
      </w:r>
      <w:r w:rsidR="00A32ADC">
        <w:rPr>
          <w:rFonts w:ascii="Bookman Old Style" w:hAnsi="Bookman Old Style" w:cs="Arial"/>
          <w:b/>
          <w:sz w:val="28"/>
          <w:szCs w:val="28"/>
        </w:rPr>
        <w:t>Revenue Demand</w:t>
      </w:r>
      <w:r w:rsidR="00C96789" w:rsidRPr="00C96789">
        <w:rPr>
          <w:rFonts w:ascii="Bookman Old Style" w:hAnsi="Bookman Old Style" w:cs="Arial"/>
          <w:b/>
          <w:sz w:val="28"/>
          <w:szCs w:val="28"/>
        </w:rPr>
        <w:t>:</w:t>
      </w:r>
    </w:p>
    <w:p w:rsidR="00CD3B7D" w:rsidRPr="00883A25" w:rsidRDefault="00D638B9" w:rsidP="00AB739B">
      <w:pPr>
        <w:ind w:left="3600" w:firstLine="720"/>
        <w:jc w:val="both"/>
        <w:rPr>
          <w:rFonts w:ascii="Bookman Old Style" w:hAnsi="Bookman Old Style"/>
          <w:b/>
          <w:sz w:val="20"/>
        </w:rPr>
      </w:pPr>
      <w:r w:rsidRPr="00883A25">
        <w:rPr>
          <w:rFonts w:ascii="Bookman Old Style" w:hAnsi="Bookman Old Style" w:cs="Arial"/>
          <w:b/>
          <w:sz w:val="20"/>
        </w:rPr>
        <w:t>Table 1.</w:t>
      </w:r>
      <w:r w:rsidR="00315F2B">
        <w:rPr>
          <w:rFonts w:ascii="Bookman Old Style" w:hAnsi="Bookman Old Style" w:cs="Arial"/>
          <w:b/>
          <w:sz w:val="20"/>
        </w:rPr>
        <w:t>5</w:t>
      </w:r>
      <w:r w:rsidRPr="00883A25">
        <w:rPr>
          <w:rFonts w:ascii="Bookman Old Style" w:hAnsi="Bookman Old Style" w:cs="Arial"/>
          <w:b/>
          <w:sz w:val="20"/>
        </w:rPr>
        <w:t xml:space="preserve">         </w:t>
      </w:r>
      <w:r w:rsidR="00883A25">
        <w:rPr>
          <w:rFonts w:ascii="Bookman Old Style" w:hAnsi="Bookman Old Style" w:cs="Arial"/>
          <w:b/>
          <w:sz w:val="20"/>
        </w:rPr>
        <w:t xml:space="preserve">      </w:t>
      </w:r>
      <w:r w:rsidRPr="00883A25">
        <w:rPr>
          <w:rFonts w:ascii="Bookman Old Style" w:hAnsi="Bookman Old Style" w:cs="Arial"/>
          <w:b/>
          <w:sz w:val="20"/>
        </w:rPr>
        <w:t xml:space="preserve">                           </w:t>
      </w:r>
      <w:proofErr w:type="gramStart"/>
      <w:r w:rsidRPr="00883A25">
        <w:rPr>
          <w:rFonts w:ascii="Bookman Old Style" w:hAnsi="Bookman Old Style" w:cs="Arial"/>
          <w:b/>
          <w:sz w:val="20"/>
        </w:rPr>
        <w:t>In</w:t>
      </w:r>
      <w:proofErr w:type="gramEnd"/>
      <w:r w:rsidRPr="00883A25">
        <w:rPr>
          <w:rFonts w:ascii="Bookman Old Style" w:hAnsi="Bookman Old Style" w:cs="Arial"/>
          <w:b/>
          <w:sz w:val="20"/>
        </w:rPr>
        <w:t xml:space="preserve"> </w:t>
      </w:r>
      <w:proofErr w:type="spellStart"/>
      <w:r w:rsidRPr="00883A25">
        <w:rPr>
          <w:rFonts w:ascii="Bookman Old Style" w:hAnsi="Bookman Old Style" w:cs="Arial"/>
          <w:b/>
          <w:sz w:val="20"/>
        </w:rPr>
        <w:t>Crs</w:t>
      </w:r>
      <w:proofErr w:type="spellEnd"/>
      <w:r w:rsidRPr="00883A25">
        <w:rPr>
          <w:rFonts w:ascii="Bookman Old Style" w:hAnsi="Bookman Old Style" w:cs="Arial"/>
          <w:b/>
          <w:sz w:val="20"/>
        </w:rPr>
        <w:t>.</w:t>
      </w:r>
    </w:p>
    <w:tbl>
      <w:tblPr>
        <w:tblW w:w="7794" w:type="dxa"/>
        <w:jc w:val="center"/>
        <w:tblInd w:w="93" w:type="dxa"/>
        <w:tblLook w:val="04A0" w:firstRow="1" w:lastRow="0" w:firstColumn="1" w:lastColumn="0" w:noHBand="0" w:noVBand="1"/>
      </w:tblPr>
      <w:tblGrid>
        <w:gridCol w:w="1980"/>
        <w:gridCol w:w="1920"/>
        <w:gridCol w:w="1935"/>
        <w:gridCol w:w="1959"/>
      </w:tblGrid>
      <w:tr w:rsidR="00731034" w:rsidRPr="00731034" w:rsidTr="00CF4F4A">
        <w:trPr>
          <w:trHeight w:val="7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 Tariff Category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FY18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FY19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FY20</w:t>
            </w:r>
          </w:p>
        </w:tc>
      </w:tr>
      <w:tr w:rsidR="00731034" w:rsidRPr="00731034" w:rsidTr="00CF4F4A">
        <w:trPr>
          <w:trHeight w:val="37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LT Domestic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3987.32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4538.30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5148.33</w:t>
            </w:r>
          </w:p>
        </w:tc>
      </w:tr>
      <w:tr w:rsidR="00731034" w:rsidRPr="00731034" w:rsidTr="00CF4F4A">
        <w:trPr>
          <w:trHeight w:val="37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LT Commercial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1850.63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2011.26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2238.84</w:t>
            </w:r>
          </w:p>
        </w:tc>
      </w:tr>
      <w:tr w:rsidR="00731034" w:rsidRPr="00731034" w:rsidTr="00CF4F4A">
        <w:trPr>
          <w:trHeight w:val="37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LT Agriculture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2105.63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2635.96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2690.97</w:t>
            </w:r>
          </w:p>
        </w:tc>
      </w:tr>
      <w:tr w:rsidR="00731034" w:rsidRPr="00731034" w:rsidTr="00CF4F4A">
        <w:trPr>
          <w:trHeight w:val="37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LT Others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979.87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1166.97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1509.80</w:t>
            </w:r>
          </w:p>
        </w:tc>
      </w:tr>
      <w:tr w:rsidR="00731034" w:rsidRPr="00731034" w:rsidTr="00CF4F4A">
        <w:trPr>
          <w:trHeight w:val="37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LT Industrial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861.31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950.21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989.53</w:t>
            </w:r>
          </w:p>
        </w:tc>
      </w:tr>
      <w:tr w:rsidR="00731034" w:rsidRPr="00731034" w:rsidTr="00CF4F4A">
        <w:trPr>
          <w:trHeight w:val="37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HT Industrial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3997.83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3790.93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3705.74</w:t>
            </w:r>
          </w:p>
        </w:tc>
      </w:tr>
      <w:tr w:rsidR="00731034" w:rsidRPr="00731034" w:rsidTr="00CF4F4A">
        <w:trPr>
          <w:trHeight w:val="37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HT Commercial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2984.09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2951.74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3086.74</w:t>
            </w:r>
          </w:p>
        </w:tc>
      </w:tr>
      <w:tr w:rsidR="00731034" w:rsidRPr="00731034" w:rsidTr="00CF4F4A">
        <w:trPr>
          <w:trHeight w:val="37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HT Others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526.18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577.32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639.98</w:t>
            </w:r>
          </w:p>
        </w:tc>
      </w:tr>
      <w:tr w:rsidR="00731034" w:rsidRPr="00731034" w:rsidTr="00CF4F4A">
        <w:trPr>
          <w:trHeight w:val="37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17292.86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18622.69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34" w:rsidRPr="00731034" w:rsidRDefault="00731034" w:rsidP="00731034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</w:pPr>
            <w:r w:rsidRPr="00731034">
              <w:rPr>
                <w:rFonts w:ascii="Bookman Old Style" w:eastAsia="Times New Roman" w:hAnsi="Bookman Old Style" w:cs="Calibri"/>
                <w:b/>
                <w:bCs/>
                <w:color w:val="000000"/>
                <w:lang w:eastAsia="en-IN"/>
              </w:rPr>
              <w:t>20009.93</w:t>
            </w:r>
          </w:p>
        </w:tc>
      </w:tr>
    </w:tbl>
    <w:p w:rsidR="00C5724A" w:rsidRDefault="00C5724A" w:rsidP="00457F40">
      <w:pPr>
        <w:jc w:val="center"/>
        <w:rPr>
          <w:noProof/>
          <w:lang w:val="en-US"/>
        </w:rPr>
      </w:pPr>
    </w:p>
    <w:p w:rsidR="002634B7" w:rsidRDefault="002634B7" w:rsidP="00457F40">
      <w:pPr>
        <w:jc w:val="center"/>
        <w:rPr>
          <w:noProof/>
          <w:lang w:val="en-US"/>
        </w:rPr>
      </w:pPr>
    </w:p>
    <w:p w:rsidR="000E7864" w:rsidRDefault="00CF4F4A" w:rsidP="00457F40">
      <w:pPr>
        <w:jc w:val="center"/>
        <w:rPr>
          <w:noProof/>
          <w:lang w:val="en-US"/>
        </w:rPr>
      </w:pPr>
      <w:r>
        <w:rPr>
          <w:noProof/>
          <w:lang w:eastAsia="en-IN"/>
        </w:rPr>
        <w:drawing>
          <wp:inline distT="0" distB="0" distL="0" distR="0" wp14:anchorId="26A755FD" wp14:editId="51C68168">
            <wp:extent cx="5514975" cy="4114800"/>
            <wp:effectExtent l="0" t="0" r="9525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7864" w:rsidRDefault="000E7864" w:rsidP="00022772">
      <w:pPr>
        <w:spacing w:line="240" w:lineRule="auto"/>
        <w:ind w:right="360"/>
        <w:rPr>
          <w:rFonts w:ascii="Bookman Old Style" w:hAnsi="Bookman Old Style"/>
          <w:b/>
          <w:bCs/>
          <w:color w:val="FF0000"/>
          <w:sz w:val="28"/>
          <w:szCs w:val="24"/>
          <w:lang w:val="en-US"/>
        </w:rPr>
      </w:pPr>
    </w:p>
    <w:p w:rsidR="00A8407D" w:rsidRPr="00621067" w:rsidRDefault="00A8407D" w:rsidP="00022772">
      <w:pPr>
        <w:spacing w:line="240" w:lineRule="auto"/>
        <w:ind w:right="360"/>
        <w:rPr>
          <w:rFonts w:ascii="Bookman Old Style" w:hAnsi="Bookman Old Style"/>
          <w:b/>
          <w:bCs/>
          <w:sz w:val="28"/>
          <w:szCs w:val="24"/>
          <w:lang w:val="en-US"/>
        </w:rPr>
      </w:pPr>
      <w:r w:rsidRPr="00621067">
        <w:rPr>
          <w:rFonts w:ascii="Bookman Old Style" w:hAnsi="Bookman Old Style"/>
          <w:b/>
          <w:bCs/>
          <w:sz w:val="28"/>
          <w:szCs w:val="24"/>
          <w:lang w:val="en-US"/>
        </w:rPr>
        <w:lastRenderedPageBreak/>
        <w:t>Average Power Purchase Cost – Actual/Approved (Rs</w:t>
      </w:r>
      <w:proofErr w:type="gramStart"/>
      <w:r w:rsidRPr="00621067">
        <w:rPr>
          <w:rFonts w:ascii="Bookman Old Style" w:hAnsi="Bookman Old Style"/>
          <w:b/>
          <w:bCs/>
          <w:sz w:val="28"/>
          <w:szCs w:val="24"/>
          <w:lang w:val="en-US"/>
        </w:rPr>
        <w:t>./</w:t>
      </w:r>
      <w:proofErr w:type="gramEnd"/>
      <w:r w:rsidRPr="00621067">
        <w:rPr>
          <w:rFonts w:ascii="Bookman Old Style" w:hAnsi="Bookman Old Style"/>
          <w:b/>
          <w:bCs/>
          <w:sz w:val="28"/>
          <w:szCs w:val="24"/>
          <w:lang w:val="en-US"/>
        </w:rPr>
        <w:t>unit):</w:t>
      </w:r>
    </w:p>
    <w:p w:rsidR="00A8407D" w:rsidRPr="00621067" w:rsidRDefault="004868A4" w:rsidP="00022772">
      <w:pPr>
        <w:spacing w:line="240" w:lineRule="auto"/>
        <w:ind w:left="2880" w:right="360" w:firstLine="720"/>
        <w:rPr>
          <w:rFonts w:ascii="Bookman Old Style" w:hAnsi="Bookman Old Style"/>
          <w:b/>
          <w:sz w:val="24"/>
          <w:szCs w:val="24"/>
        </w:rPr>
      </w:pPr>
      <w:r w:rsidRPr="00621067">
        <w:rPr>
          <w:rFonts w:ascii="Bookman Old Style" w:hAnsi="Bookman Old Style" w:cs="Arial"/>
          <w:b/>
          <w:sz w:val="20"/>
        </w:rPr>
        <w:t>Table 1.</w:t>
      </w:r>
      <w:r w:rsidR="00512A32" w:rsidRPr="00621067">
        <w:rPr>
          <w:rFonts w:ascii="Bookman Old Style" w:hAnsi="Bookman Old Style" w:cs="Arial"/>
          <w:b/>
          <w:sz w:val="20"/>
        </w:rPr>
        <w:t>6</w:t>
      </w:r>
      <w:r w:rsidRPr="00621067">
        <w:rPr>
          <w:rFonts w:ascii="Bookman Old Style" w:hAnsi="Bookman Old Style" w:cs="Arial"/>
          <w:b/>
          <w:sz w:val="20"/>
        </w:rPr>
        <w:t xml:space="preserve">                                          </w:t>
      </w:r>
    </w:p>
    <w:tbl>
      <w:tblPr>
        <w:tblW w:w="6897" w:type="dxa"/>
        <w:jc w:val="center"/>
        <w:tblLook w:val="04A0" w:firstRow="1" w:lastRow="0" w:firstColumn="1" w:lastColumn="0" w:noHBand="0" w:noVBand="1"/>
      </w:tblPr>
      <w:tblGrid>
        <w:gridCol w:w="2022"/>
        <w:gridCol w:w="1509"/>
        <w:gridCol w:w="1611"/>
        <w:gridCol w:w="1755"/>
      </w:tblGrid>
      <w:tr w:rsidR="00621067" w:rsidRPr="00621067" w:rsidTr="00A33B0F">
        <w:trPr>
          <w:trHeight w:val="57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407D" w:rsidRPr="00621067" w:rsidRDefault="00026A5E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sz w:val="20"/>
                <w:lang w:eastAsia="en-IN"/>
              </w:rPr>
              <w:t>Year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Actual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proofErr w:type="spellStart"/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Appd</w:t>
            </w:r>
            <w:proofErr w:type="spellEnd"/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Diff.</w:t>
            </w:r>
          </w:p>
        </w:tc>
      </w:tr>
      <w:tr w:rsidR="00621067" w:rsidRPr="00621067" w:rsidTr="00A33B0F">
        <w:trPr>
          <w:trHeight w:val="57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FY-13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3.87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3.61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0.27</w:t>
            </w:r>
          </w:p>
        </w:tc>
      </w:tr>
      <w:tr w:rsidR="00621067" w:rsidRPr="00621067" w:rsidTr="00A33B0F">
        <w:trPr>
          <w:trHeight w:val="57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FY-14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3.83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3.62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0.21</w:t>
            </w:r>
          </w:p>
        </w:tc>
      </w:tr>
      <w:tr w:rsidR="00621067" w:rsidRPr="00621067" w:rsidTr="00A33B0F">
        <w:trPr>
          <w:trHeight w:val="57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FY-15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4.05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3.90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0.15</w:t>
            </w:r>
          </w:p>
        </w:tc>
      </w:tr>
      <w:tr w:rsidR="00621067" w:rsidRPr="00621067" w:rsidTr="00A33B0F">
        <w:trPr>
          <w:trHeight w:val="57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FY-16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4.32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3.89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0.43</w:t>
            </w:r>
          </w:p>
        </w:tc>
      </w:tr>
      <w:tr w:rsidR="00621067" w:rsidRPr="00621067" w:rsidTr="00A33B0F">
        <w:trPr>
          <w:trHeight w:val="57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FY-17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4.35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4.11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0.24</w:t>
            </w:r>
          </w:p>
        </w:tc>
      </w:tr>
      <w:tr w:rsidR="00621067" w:rsidRPr="00621067" w:rsidTr="00A33B0F">
        <w:trPr>
          <w:trHeight w:val="57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FY-18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4.84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4.41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0.43</w:t>
            </w:r>
          </w:p>
        </w:tc>
      </w:tr>
      <w:tr w:rsidR="00621067" w:rsidRPr="00621067" w:rsidTr="00A33B0F">
        <w:trPr>
          <w:trHeight w:val="57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FY-19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311FEC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5.68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4.81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1569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sz w:val="20"/>
                <w:lang w:eastAsia="en-IN"/>
              </w:rPr>
              <w:t>0.</w:t>
            </w:r>
            <w:r w:rsidR="00231569" w:rsidRPr="00621067">
              <w:rPr>
                <w:rFonts w:ascii="Bookman Old Style" w:eastAsia="Times New Roman" w:hAnsi="Bookman Old Style" w:cs="Calibri"/>
                <w:b/>
                <w:sz w:val="20"/>
                <w:lang w:eastAsia="en-IN"/>
              </w:rPr>
              <w:t>87</w:t>
            </w:r>
          </w:p>
        </w:tc>
      </w:tr>
      <w:tr w:rsidR="00621067" w:rsidRPr="00621067" w:rsidTr="00A33B0F">
        <w:trPr>
          <w:trHeight w:val="57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A96C55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FY-20</w:t>
            </w:r>
            <w:bookmarkStart w:id="11" w:name="_GoBack"/>
            <w:bookmarkEnd w:id="11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311FEC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5.91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5.39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07D" w:rsidRPr="00621067" w:rsidRDefault="00231569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sz w:val="20"/>
                <w:lang w:eastAsia="en-IN"/>
              </w:rPr>
              <w:t>0.52</w:t>
            </w:r>
          </w:p>
        </w:tc>
      </w:tr>
      <w:tr w:rsidR="00151B7C" w:rsidRPr="00621067" w:rsidTr="00A33B0F">
        <w:trPr>
          <w:trHeight w:val="57"/>
          <w:jc w:val="center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A8407D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FY-21</w:t>
            </w:r>
            <w:r w:rsidR="00026A5E" w:rsidRPr="00621067">
              <w:rPr>
                <w:rFonts w:ascii="Bookman Old Style" w:eastAsia="Times New Roman" w:hAnsi="Bookman Old Style" w:cs="Calibri"/>
                <w:b/>
                <w:bCs/>
                <w:sz w:val="16"/>
                <w:lang w:eastAsia="en-IN"/>
              </w:rPr>
              <w:t>(Projected)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261" w:rsidRPr="00666261" w:rsidRDefault="00666261" w:rsidP="00E203FA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0"/>
                <w:lang w:eastAsia="en-IN"/>
              </w:rPr>
            </w:pPr>
            <w:r w:rsidRPr="00E203FA">
              <w:rPr>
                <w:rFonts w:ascii="Bookman Old Style" w:eastAsia="Times New Roman" w:hAnsi="Bookman Old Style" w:cs="Calibri"/>
                <w:sz w:val="20"/>
                <w:lang w:eastAsia="en-IN"/>
              </w:rPr>
              <w:t>5.</w:t>
            </w:r>
            <w:r w:rsidR="00E203FA" w:rsidRPr="00E203FA">
              <w:rPr>
                <w:rFonts w:ascii="Bookman Old Style" w:eastAsia="Times New Roman" w:hAnsi="Bookman Old Style" w:cs="Calibri"/>
                <w:sz w:val="20"/>
                <w:lang w:eastAsia="en-IN"/>
              </w:rPr>
              <w:t>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07D" w:rsidRPr="00621067" w:rsidRDefault="00DC14EC" w:rsidP="00234C7D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sz w:val="20"/>
                <w:lang w:eastAsia="en-IN"/>
              </w:rPr>
              <w:t>5.30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07D" w:rsidRPr="00621067" w:rsidRDefault="00A8407D" w:rsidP="00E203FA">
            <w:pPr>
              <w:spacing w:after="0" w:line="360" w:lineRule="auto"/>
              <w:jc w:val="center"/>
              <w:rPr>
                <w:rFonts w:ascii="Bookman Old Style" w:eastAsia="Times New Roman" w:hAnsi="Bookman Old Style" w:cs="Calibri"/>
                <w:b/>
                <w:sz w:val="20"/>
                <w:lang w:eastAsia="en-IN"/>
              </w:rPr>
            </w:pPr>
            <w:r w:rsidRPr="00621067">
              <w:rPr>
                <w:rFonts w:ascii="Bookman Old Style" w:eastAsia="Times New Roman" w:hAnsi="Bookman Old Style" w:cs="Calibri"/>
                <w:b/>
                <w:sz w:val="20"/>
                <w:lang w:eastAsia="en-IN"/>
              </w:rPr>
              <w:t>0.</w:t>
            </w:r>
            <w:r w:rsidR="00E203FA">
              <w:rPr>
                <w:rFonts w:ascii="Bookman Old Style" w:eastAsia="Times New Roman" w:hAnsi="Bookman Old Style" w:cs="Calibri"/>
                <w:b/>
                <w:sz w:val="20"/>
                <w:lang w:eastAsia="en-IN"/>
              </w:rPr>
              <w:t>52</w:t>
            </w:r>
          </w:p>
        </w:tc>
      </w:tr>
    </w:tbl>
    <w:p w:rsidR="00D37D66" w:rsidRPr="00621067" w:rsidRDefault="00D37D66" w:rsidP="0024545C">
      <w:pPr>
        <w:ind w:right="360"/>
        <w:jc w:val="center"/>
        <w:rPr>
          <w:b/>
        </w:rPr>
      </w:pPr>
    </w:p>
    <w:p w:rsidR="00855A68" w:rsidRDefault="00E203FA" w:rsidP="0024545C">
      <w:pPr>
        <w:ind w:right="360"/>
        <w:jc w:val="center"/>
        <w:rPr>
          <w:b/>
        </w:rPr>
      </w:pPr>
      <w:r>
        <w:rPr>
          <w:noProof/>
          <w:lang w:eastAsia="en-IN"/>
        </w:rPr>
        <w:drawing>
          <wp:inline distT="0" distB="0" distL="0" distR="0" wp14:anchorId="119F6BF6" wp14:editId="369B6D6A">
            <wp:extent cx="5391150" cy="470535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5A68" w:rsidRDefault="00855A68" w:rsidP="0024545C">
      <w:pPr>
        <w:ind w:right="360"/>
        <w:jc w:val="center"/>
        <w:rPr>
          <w:b/>
        </w:rPr>
      </w:pPr>
    </w:p>
    <w:p w:rsidR="00922107" w:rsidRPr="00922107" w:rsidRDefault="004868A4" w:rsidP="00382B87">
      <w:pPr>
        <w:pStyle w:val="NormalWeb"/>
        <w:spacing w:before="0" w:beforeAutospacing="0" w:after="0" w:afterAutospacing="0"/>
        <w:jc w:val="both"/>
      </w:pPr>
      <w:r w:rsidRPr="00922107">
        <w:rPr>
          <w:rFonts w:ascii="Bookman Old Style" w:hAnsi="Bookman Old Style"/>
          <w:b/>
          <w:sz w:val="28"/>
        </w:rPr>
        <w:lastRenderedPageBreak/>
        <w:t>Year</w:t>
      </w:r>
      <w:r w:rsidR="00EF6507" w:rsidRPr="00922107">
        <w:rPr>
          <w:rFonts w:ascii="Bookman Old Style" w:hAnsi="Bookman Old Style"/>
          <w:b/>
          <w:sz w:val="28"/>
        </w:rPr>
        <w:t>-</w:t>
      </w:r>
      <w:r w:rsidRPr="00922107">
        <w:rPr>
          <w:rFonts w:ascii="Bookman Old Style" w:hAnsi="Bookman Old Style"/>
          <w:b/>
          <w:sz w:val="28"/>
        </w:rPr>
        <w:t>wise</w:t>
      </w:r>
      <w:r w:rsidR="00AC5AF1" w:rsidRPr="00922107">
        <w:rPr>
          <w:rFonts w:ascii="Bookman Old Style" w:hAnsi="Bookman Old Style"/>
          <w:b/>
          <w:sz w:val="28"/>
        </w:rPr>
        <w:t xml:space="preserve"> BESCOM Consumer participati</w:t>
      </w:r>
      <w:r w:rsidRPr="00922107">
        <w:rPr>
          <w:rFonts w:ascii="Bookman Old Style" w:hAnsi="Bookman Old Style"/>
          <w:b/>
          <w:sz w:val="28"/>
        </w:rPr>
        <w:t>on</w:t>
      </w:r>
      <w:r w:rsidR="00AC5AF1" w:rsidRPr="00922107">
        <w:rPr>
          <w:rFonts w:ascii="Bookman Old Style" w:hAnsi="Bookman Old Style"/>
          <w:b/>
          <w:sz w:val="28"/>
        </w:rPr>
        <w:t xml:space="preserve"> </w:t>
      </w:r>
      <w:r w:rsidR="00EF6507" w:rsidRPr="00922107">
        <w:rPr>
          <w:rFonts w:ascii="Bookman Old Style" w:hAnsi="Bookman Old Style"/>
          <w:b/>
          <w:sz w:val="28"/>
        </w:rPr>
        <w:t>in</w:t>
      </w:r>
      <w:r w:rsidR="00AC5AF1" w:rsidRPr="00922107">
        <w:rPr>
          <w:rFonts w:ascii="Bookman Old Style" w:hAnsi="Bookman Old Style"/>
          <w:b/>
          <w:sz w:val="28"/>
        </w:rPr>
        <w:t xml:space="preserve"> Wheeling and Open access:</w:t>
      </w:r>
      <w:r w:rsidR="00922107" w:rsidRPr="00922107">
        <w:rPr>
          <w:rFonts w:ascii="Bookman Old Style" w:hAnsi="Bookman Old Style"/>
          <w:b/>
          <w:sz w:val="28"/>
        </w:rPr>
        <w:t xml:space="preserve"> </w:t>
      </w:r>
    </w:p>
    <w:p w:rsidR="0041159E" w:rsidRPr="004868A4" w:rsidRDefault="0041159E" w:rsidP="004F28AA">
      <w:pPr>
        <w:ind w:right="360"/>
        <w:jc w:val="both"/>
        <w:rPr>
          <w:rFonts w:ascii="Bookman Old Style" w:hAnsi="Bookman Old Style"/>
          <w:b/>
          <w:sz w:val="28"/>
          <w:szCs w:val="24"/>
        </w:rPr>
      </w:pPr>
    </w:p>
    <w:p w:rsidR="00384CE9" w:rsidRDefault="00922107" w:rsidP="004868A4">
      <w:pPr>
        <w:ind w:righ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0D3F7" wp14:editId="0C308F23">
                <wp:simplePos x="0" y="0"/>
                <wp:positionH relativeFrom="column">
                  <wp:posOffset>-647700</wp:posOffset>
                </wp:positionH>
                <wp:positionV relativeFrom="paragraph">
                  <wp:posOffset>-1604645</wp:posOffset>
                </wp:positionV>
                <wp:extent cx="5323859" cy="313416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859" cy="3134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2107" w:rsidRDefault="00922107"/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-51pt;margin-top:-126.35pt;width:419.2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" filled="f" stroked="f">
                <v:textbox>
                  <w:txbxContent>
                    <w:p w:rsidR="00922107" w:rsidRDefault="00922107"/>
                  </w:txbxContent>
                </v:textbox>
              </v:shape>
            </w:pict>
          </mc:Fallback>
        </mc:AlternateContent>
      </w:r>
      <w:r w:rsidR="004868A4" w:rsidRPr="00883A25">
        <w:rPr>
          <w:rFonts w:ascii="Bookman Old Style" w:hAnsi="Bookman Old Style" w:cs="Arial"/>
          <w:b/>
          <w:sz w:val="20"/>
        </w:rPr>
        <w:t>Table 1.</w:t>
      </w:r>
      <w:r w:rsidR="00512A32">
        <w:rPr>
          <w:rFonts w:ascii="Bookman Old Style" w:hAnsi="Bookman Old Style" w:cs="Arial"/>
          <w:b/>
          <w:sz w:val="20"/>
        </w:rPr>
        <w:t>7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839"/>
        <w:gridCol w:w="993"/>
        <w:gridCol w:w="1279"/>
        <w:gridCol w:w="994"/>
        <w:gridCol w:w="1280"/>
        <w:gridCol w:w="994"/>
        <w:gridCol w:w="1280"/>
        <w:gridCol w:w="994"/>
        <w:gridCol w:w="1280"/>
      </w:tblGrid>
      <w:tr w:rsidR="000E7864" w:rsidRPr="000E7864" w:rsidTr="000E7864">
        <w:trPr>
          <w:trHeight w:val="4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Year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Captive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864" w:rsidRPr="000E7864" w:rsidRDefault="0079050D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Wheeling (Non-</w:t>
            </w:r>
            <w:r w:rsidR="000E7864" w:rsidRPr="000E7864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captive)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OPEN ACCESSS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  <w:t>Total</w:t>
            </w:r>
          </w:p>
        </w:tc>
      </w:tr>
      <w:tr w:rsidR="000E7864" w:rsidRPr="000E7864" w:rsidTr="000E7864">
        <w:trPr>
          <w:trHeight w:val="76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  <w:t>No of consumer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  <w:t>Consumption in mu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  <w:t>No of consumer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  <w:t>Consumption in mu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  <w:t>No of consumer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  <w:t>Consumption in mu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  <w:t>No of consumer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n-IN"/>
              </w:rPr>
              <w:t>Consumption in mu</w:t>
            </w:r>
          </w:p>
        </w:tc>
      </w:tr>
      <w:tr w:rsidR="000E7864" w:rsidRPr="000E7864" w:rsidTr="000E786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FY-15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64.79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284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22.06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174.65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261.50</w:t>
            </w:r>
          </w:p>
        </w:tc>
      </w:tr>
      <w:tr w:rsidR="000E7864" w:rsidRPr="000E7864" w:rsidTr="000E786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FY-16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63.06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336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1264.29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478.73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548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1806.08</w:t>
            </w:r>
          </w:p>
        </w:tc>
      </w:tr>
      <w:tr w:rsidR="000E7864" w:rsidRPr="000E7864" w:rsidTr="000E786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FY-17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231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441.19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322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1373.56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1189.72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702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3004.47</w:t>
            </w:r>
          </w:p>
        </w:tc>
      </w:tr>
      <w:tr w:rsidR="000E7864" w:rsidRPr="000E7864" w:rsidTr="000E786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FY-18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231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1020.97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1294.73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1238.33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794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3554.03</w:t>
            </w:r>
          </w:p>
        </w:tc>
      </w:tr>
      <w:tr w:rsidR="000E7864" w:rsidRPr="000E7864" w:rsidTr="000E786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FY-19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1040.23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2752.22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468.35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722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4260.80</w:t>
            </w:r>
          </w:p>
        </w:tc>
      </w:tr>
      <w:tr w:rsidR="000E7864" w:rsidRPr="000E7864" w:rsidTr="000E7864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0E786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FY-20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202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1157.22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3068.23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7407C9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378.8</w:t>
            </w:r>
            <w:r w:rsidR="0046608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0E7864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 w:rsidRPr="000E7864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696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864" w:rsidRPr="000E7864" w:rsidRDefault="007407C9" w:rsidP="00625AA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4604.2</w:t>
            </w:r>
            <w:r w:rsidR="00466085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n-IN"/>
              </w:rPr>
              <w:t>8</w:t>
            </w:r>
          </w:p>
        </w:tc>
      </w:tr>
    </w:tbl>
    <w:p w:rsidR="003A2CD5" w:rsidRDefault="003A2CD5" w:rsidP="0024545C">
      <w:pPr>
        <w:ind w:right="360"/>
        <w:jc w:val="center"/>
        <w:rPr>
          <w:rFonts w:ascii="Bookman Old Style" w:hAnsi="Bookman Old Style"/>
          <w:b/>
          <w:sz w:val="24"/>
          <w:szCs w:val="24"/>
        </w:rPr>
      </w:pPr>
    </w:p>
    <w:p w:rsidR="00484A13" w:rsidRDefault="00484A13" w:rsidP="0024545C">
      <w:pPr>
        <w:ind w:right="360"/>
        <w:jc w:val="center"/>
        <w:rPr>
          <w:rFonts w:ascii="Bookman Old Style" w:hAnsi="Bookman Old Style"/>
          <w:b/>
          <w:sz w:val="24"/>
          <w:szCs w:val="24"/>
        </w:rPr>
      </w:pPr>
    </w:p>
    <w:p w:rsidR="00B34322" w:rsidRDefault="007407C9" w:rsidP="0024545C">
      <w:pPr>
        <w:ind w:righ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4274D6F8" wp14:editId="00D2D328">
            <wp:extent cx="6067425" cy="42386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50D2" w:rsidRDefault="005F50D2" w:rsidP="0024545C">
      <w:pPr>
        <w:ind w:right="360"/>
        <w:jc w:val="center"/>
        <w:rPr>
          <w:rFonts w:ascii="Bookman Old Style" w:hAnsi="Bookman Old Style"/>
          <w:b/>
          <w:sz w:val="24"/>
          <w:szCs w:val="24"/>
        </w:rPr>
      </w:pPr>
    </w:p>
    <w:p w:rsidR="00D44927" w:rsidRPr="00B1481D" w:rsidRDefault="00A457A3" w:rsidP="004868A4">
      <w:pPr>
        <w:ind w:right="360"/>
        <w:rPr>
          <w:rFonts w:ascii="Bookman Old Style" w:hAnsi="Bookman Old Style"/>
          <w:b/>
          <w:sz w:val="28"/>
          <w:szCs w:val="24"/>
        </w:rPr>
      </w:pPr>
      <w:r w:rsidRPr="00B1481D">
        <w:rPr>
          <w:rFonts w:ascii="Bookman Old Style" w:hAnsi="Bookman Old Style"/>
          <w:b/>
          <w:sz w:val="28"/>
          <w:szCs w:val="24"/>
        </w:rPr>
        <w:lastRenderedPageBreak/>
        <w:t>HT Sales Vs Open Access Sales</w:t>
      </w:r>
      <w:r w:rsidR="004868A4" w:rsidRPr="00B1481D">
        <w:rPr>
          <w:rFonts w:ascii="Bookman Old Style" w:hAnsi="Bookman Old Style"/>
          <w:b/>
          <w:sz w:val="28"/>
          <w:szCs w:val="24"/>
        </w:rPr>
        <w:t>:</w:t>
      </w:r>
    </w:p>
    <w:p w:rsidR="004868A4" w:rsidRPr="004868A4" w:rsidRDefault="004868A4" w:rsidP="004868A4">
      <w:pPr>
        <w:ind w:right="360"/>
        <w:jc w:val="center"/>
        <w:rPr>
          <w:rFonts w:ascii="Bookman Old Style" w:hAnsi="Bookman Old Style"/>
          <w:b/>
          <w:szCs w:val="24"/>
        </w:rPr>
      </w:pPr>
      <w:r w:rsidRPr="004868A4">
        <w:rPr>
          <w:rFonts w:ascii="Bookman Old Style" w:hAnsi="Bookman Old Style"/>
          <w:b/>
          <w:szCs w:val="24"/>
        </w:rPr>
        <w:t>Table 1.</w:t>
      </w:r>
      <w:r w:rsidR="00512A32">
        <w:rPr>
          <w:rFonts w:ascii="Bookman Old Style" w:hAnsi="Bookman Old Style"/>
          <w:b/>
          <w:szCs w:val="24"/>
        </w:rPr>
        <w:t>8</w:t>
      </w:r>
    </w:p>
    <w:tbl>
      <w:tblPr>
        <w:tblW w:w="8706" w:type="dxa"/>
        <w:tblInd w:w="534" w:type="dxa"/>
        <w:tblLook w:val="04A0" w:firstRow="1" w:lastRow="0" w:firstColumn="1" w:lastColumn="0" w:noHBand="0" w:noVBand="1"/>
      </w:tblPr>
      <w:tblGrid>
        <w:gridCol w:w="1170"/>
        <w:gridCol w:w="1632"/>
        <w:gridCol w:w="2136"/>
        <w:gridCol w:w="1632"/>
        <w:gridCol w:w="2136"/>
      </w:tblGrid>
      <w:tr w:rsidR="00151B7C" w:rsidRPr="00151B7C" w:rsidTr="00B1481D">
        <w:trPr>
          <w:trHeight w:val="27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  <w:t>Year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  <w:t>Open Access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  <w:t>HT sales</w:t>
            </w:r>
          </w:p>
        </w:tc>
      </w:tr>
      <w:tr w:rsidR="00151B7C" w:rsidRPr="00B1481D" w:rsidTr="00B1481D">
        <w:trPr>
          <w:trHeight w:val="821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  <w:t>No of consumer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  <w:t>Consumption in mu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  <w:t>No of consumer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  <w:t>Consumption in mu</w:t>
            </w:r>
          </w:p>
        </w:tc>
      </w:tr>
      <w:tr w:rsidR="00151B7C" w:rsidRPr="00151B7C" w:rsidTr="00B1481D">
        <w:trPr>
          <w:trHeight w:val="27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FY-15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  <w:t>326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  <w:t>196.71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11416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8830.68</w:t>
            </w:r>
          </w:p>
        </w:tc>
      </w:tr>
      <w:tr w:rsidR="00151B7C" w:rsidRPr="00151B7C" w:rsidTr="00B1481D">
        <w:trPr>
          <w:trHeight w:val="27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FY-16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  <w:t>408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  <w:t>1743.02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13635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8341.31</w:t>
            </w:r>
          </w:p>
        </w:tc>
      </w:tr>
      <w:tr w:rsidR="00151B7C" w:rsidRPr="00151B7C" w:rsidTr="00B1481D">
        <w:trPr>
          <w:trHeight w:val="27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FY-17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  <w:t>471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  <w:t>2563.28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13841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8231.38</w:t>
            </w:r>
          </w:p>
        </w:tc>
      </w:tr>
      <w:tr w:rsidR="00151B7C" w:rsidRPr="00151B7C" w:rsidTr="00B1481D">
        <w:trPr>
          <w:trHeight w:val="27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FY-18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  <w:t>563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  <w:t>2533.06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14920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8204.96</w:t>
            </w:r>
          </w:p>
        </w:tc>
      </w:tr>
      <w:tr w:rsidR="00151B7C" w:rsidRPr="00151B7C" w:rsidTr="00B1481D">
        <w:trPr>
          <w:trHeight w:val="27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FY-19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  <w:t>540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  <w:t>3220.57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16336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8210.56</w:t>
            </w:r>
          </w:p>
        </w:tc>
      </w:tr>
      <w:tr w:rsidR="00151B7C" w:rsidRPr="00151B7C" w:rsidTr="00B1481D">
        <w:trPr>
          <w:trHeight w:val="27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FY-20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3F3F76"/>
                <w:sz w:val="20"/>
                <w:lang w:eastAsia="en-IN"/>
              </w:rPr>
              <w:t>494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C" w:rsidRPr="00151B7C" w:rsidRDefault="00151B7C" w:rsidP="008E5961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34</w:t>
            </w:r>
            <w:r w:rsidR="008E5961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47</w:t>
            </w: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.</w:t>
            </w:r>
            <w:r w:rsidR="008E5961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17925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7C" w:rsidRPr="00151B7C" w:rsidRDefault="00151B7C" w:rsidP="00151B7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151B7C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7838.44</w:t>
            </w:r>
          </w:p>
        </w:tc>
      </w:tr>
    </w:tbl>
    <w:p w:rsidR="009C16A4" w:rsidRDefault="009C16A4" w:rsidP="0024545C">
      <w:pPr>
        <w:ind w:right="360"/>
        <w:jc w:val="center"/>
        <w:rPr>
          <w:rFonts w:ascii="Bookman Old Style" w:hAnsi="Bookman Old Style"/>
          <w:b/>
          <w:sz w:val="24"/>
          <w:szCs w:val="24"/>
        </w:rPr>
      </w:pPr>
    </w:p>
    <w:p w:rsidR="002B372B" w:rsidRDefault="002B372B" w:rsidP="0024545C">
      <w:pPr>
        <w:ind w:righ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4BEFDE2C" wp14:editId="2D322055">
            <wp:extent cx="5676900" cy="37338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372B" w:rsidRDefault="002B372B" w:rsidP="0024545C">
      <w:pPr>
        <w:ind w:right="360"/>
        <w:jc w:val="center"/>
        <w:rPr>
          <w:rFonts w:ascii="Bookman Old Style" w:hAnsi="Bookman Old Style"/>
          <w:b/>
          <w:sz w:val="24"/>
          <w:szCs w:val="24"/>
        </w:rPr>
      </w:pPr>
    </w:p>
    <w:p w:rsidR="003A5ACB" w:rsidRDefault="003A5ACB" w:rsidP="0024545C">
      <w:pPr>
        <w:ind w:right="360"/>
        <w:jc w:val="center"/>
        <w:rPr>
          <w:rFonts w:ascii="Bookman Old Style" w:hAnsi="Bookman Old Style"/>
          <w:b/>
          <w:sz w:val="24"/>
          <w:szCs w:val="24"/>
        </w:rPr>
      </w:pPr>
    </w:p>
    <w:p w:rsidR="00484A13" w:rsidRDefault="00484A13" w:rsidP="0024545C">
      <w:pPr>
        <w:ind w:right="360"/>
        <w:jc w:val="center"/>
        <w:rPr>
          <w:rFonts w:ascii="Bookman Old Style" w:hAnsi="Bookman Old Style"/>
          <w:b/>
          <w:sz w:val="24"/>
          <w:szCs w:val="24"/>
        </w:rPr>
      </w:pPr>
    </w:p>
    <w:p w:rsidR="006D46E6" w:rsidRDefault="006D46E6" w:rsidP="0024545C">
      <w:pPr>
        <w:ind w:right="360"/>
        <w:jc w:val="center"/>
        <w:rPr>
          <w:rFonts w:ascii="Bookman Old Style" w:hAnsi="Bookman Old Style"/>
          <w:b/>
          <w:sz w:val="24"/>
          <w:szCs w:val="24"/>
        </w:rPr>
      </w:pPr>
    </w:p>
    <w:sectPr w:rsidR="006D46E6" w:rsidSect="00C83403">
      <w:headerReference w:type="default" r:id="rId16"/>
      <w:footerReference w:type="default" r:id="rId17"/>
      <w:pgSz w:w="11906" w:h="16838"/>
      <w:pgMar w:top="1440" w:right="83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6D" w:rsidRDefault="0010276D" w:rsidP="00940D50">
      <w:pPr>
        <w:spacing w:after="0" w:line="240" w:lineRule="auto"/>
      </w:pPr>
      <w:r>
        <w:separator/>
      </w:r>
    </w:p>
  </w:endnote>
  <w:endnote w:type="continuationSeparator" w:id="0">
    <w:p w:rsidR="0010276D" w:rsidRDefault="0010276D" w:rsidP="0094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09817"/>
      <w:docPartObj>
        <w:docPartGallery w:val="Page Numbers (Bottom of Page)"/>
        <w:docPartUnique/>
      </w:docPartObj>
    </w:sdtPr>
    <w:sdtEndPr/>
    <w:sdtContent>
      <w:p w:rsidR="00A448F7" w:rsidRDefault="00A448F7" w:rsidP="00A448F7">
        <w:pPr>
          <w:pStyle w:val="Header"/>
        </w:pPr>
      </w:p>
      <w:p w:rsidR="00A448F7" w:rsidRPr="00454A4E" w:rsidRDefault="004E57E5" w:rsidP="00A448F7">
        <w:pPr>
          <w:pStyle w:val="Footer"/>
          <w:pBdr>
            <w:top w:val="thinThickSmallGap" w:sz="24" w:space="1" w:color="823B0B" w:themeColor="accent2" w:themeShade="7F"/>
          </w:pBdr>
          <w:rPr>
            <w:rFonts w:ascii="Bookman Old Style" w:hAnsi="Bookman Old Style"/>
            <w:b/>
            <w:sz w:val="18"/>
            <w:szCs w:val="18"/>
          </w:rPr>
        </w:pPr>
        <w:r>
          <w:rPr>
            <w:rFonts w:ascii="Bookman Old Style" w:hAnsi="Bookman Old Style"/>
            <w:b/>
          </w:rPr>
          <w:t>BESCOM IN BREIF</w:t>
        </w:r>
        <w:r w:rsidRPr="00757485">
          <w:rPr>
            <w:rFonts w:ascii="Bookman Old Style" w:hAnsi="Bookman Old Style"/>
            <w:b/>
            <w:sz w:val="18"/>
            <w:szCs w:val="18"/>
          </w:rPr>
          <w:t xml:space="preserve"> </w:t>
        </w:r>
        <w:r w:rsidR="00A448F7" w:rsidRPr="00757485">
          <w:rPr>
            <w:rFonts w:ascii="Bookman Old Style" w:hAnsi="Bookman Old Style"/>
            <w:b/>
            <w:sz w:val="18"/>
            <w:szCs w:val="18"/>
          </w:rPr>
          <w:ptab w:relativeTo="margin" w:alignment="right" w:leader="none"/>
        </w:r>
        <w:r w:rsidR="00A448F7" w:rsidRPr="00757485">
          <w:rPr>
            <w:rFonts w:ascii="Bookman Old Style" w:eastAsiaTheme="majorEastAsia" w:hAnsi="Bookman Old Style" w:cstheme="majorBidi"/>
            <w:b/>
            <w:sz w:val="18"/>
            <w:szCs w:val="18"/>
          </w:rPr>
          <w:t xml:space="preserve">Page </w:t>
        </w:r>
        <w:r w:rsidR="00A448F7" w:rsidRPr="00757485">
          <w:rPr>
            <w:rFonts w:ascii="Bookman Old Style" w:eastAsiaTheme="majorEastAsia" w:hAnsi="Bookman Old Style" w:cstheme="majorBidi"/>
            <w:b/>
            <w:sz w:val="18"/>
            <w:szCs w:val="18"/>
          </w:rPr>
          <w:fldChar w:fldCharType="begin"/>
        </w:r>
        <w:r w:rsidR="00A448F7" w:rsidRPr="00757485">
          <w:rPr>
            <w:rFonts w:ascii="Bookman Old Style" w:eastAsiaTheme="majorEastAsia" w:hAnsi="Bookman Old Style" w:cstheme="majorBidi"/>
            <w:b/>
            <w:sz w:val="18"/>
            <w:szCs w:val="18"/>
          </w:rPr>
          <w:instrText xml:space="preserve"> PAGE   \* MERGEFORMAT </w:instrText>
        </w:r>
        <w:r w:rsidR="00A448F7" w:rsidRPr="00757485">
          <w:rPr>
            <w:rFonts w:ascii="Bookman Old Style" w:eastAsiaTheme="majorEastAsia" w:hAnsi="Bookman Old Style" w:cstheme="majorBidi"/>
            <w:b/>
            <w:sz w:val="18"/>
            <w:szCs w:val="18"/>
          </w:rPr>
          <w:fldChar w:fldCharType="separate"/>
        </w:r>
        <w:r w:rsidR="00A96C55">
          <w:rPr>
            <w:rFonts w:ascii="Bookman Old Style" w:eastAsiaTheme="majorEastAsia" w:hAnsi="Bookman Old Style" w:cstheme="majorBidi"/>
            <w:b/>
            <w:noProof/>
            <w:sz w:val="18"/>
            <w:szCs w:val="18"/>
          </w:rPr>
          <w:t>5</w:t>
        </w:r>
        <w:r w:rsidR="00A448F7" w:rsidRPr="00757485">
          <w:rPr>
            <w:rFonts w:ascii="Bookman Old Style" w:eastAsiaTheme="majorEastAsia" w:hAnsi="Bookman Old Style" w:cstheme="majorBidi"/>
            <w:b/>
            <w:sz w:val="18"/>
            <w:szCs w:val="18"/>
          </w:rPr>
          <w:fldChar w:fldCharType="end"/>
        </w:r>
      </w:p>
      <w:p w:rsidR="00A448F7" w:rsidRDefault="0010276D" w:rsidP="00A448F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6D" w:rsidRDefault="0010276D" w:rsidP="00940D50">
      <w:pPr>
        <w:spacing w:after="0" w:line="240" w:lineRule="auto"/>
      </w:pPr>
      <w:r>
        <w:separator/>
      </w:r>
    </w:p>
  </w:footnote>
  <w:footnote w:type="continuationSeparator" w:id="0">
    <w:p w:rsidR="0010276D" w:rsidRDefault="0010276D" w:rsidP="0094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19" w:rsidRDefault="00321D19" w:rsidP="004E57E5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N"/>
      </w:rPr>
      <w:drawing>
        <wp:inline distT="0" distB="0" distL="0" distR="0" wp14:anchorId="2CB6BD99" wp14:editId="799453B9">
          <wp:extent cx="598715" cy="521335"/>
          <wp:effectExtent l="0" t="0" r="0" b="0"/>
          <wp:docPr id="10" name="Picture 10" descr="Image result for besc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sco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60" cy="53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245D47" w:rsidRPr="00A448F7" w:rsidRDefault="00321D19" w:rsidP="00321D19">
    <w:pPr>
      <w:pStyle w:val="Footer"/>
      <w:rPr>
        <w:rFonts w:ascii="Bookman Old Style" w:hAnsi="Bookman Old Style"/>
        <w:b/>
      </w:rPr>
    </w:pPr>
    <w:r>
      <w:t xml:space="preserve"> </w:t>
    </w:r>
    <w:sdt>
      <w:sdtPr>
        <w:id w:val="503788812"/>
        <w:docPartObj>
          <w:docPartGallery w:val="Page Numbers (Bottom of Page)"/>
          <w:docPartUnique/>
        </w:docPartObj>
      </w:sdtPr>
      <w:sdtEndPr>
        <w:rPr>
          <w:rFonts w:ascii="Bookman Old Style" w:hAnsi="Bookman Old Style"/>
          <w:b/>
        </w:rPr>
      </w:sdtEndPr>
      <w:sdtContent>
        <w:r w:rsidR="00A448F7">
          <w:tab/>
        </w:r>
        <w:r w:rsidR="00A448F7">
          <w:tab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E4F"/>
    <w:multiLevelType w:val="hybridMultilevel"/>
    <w:tmpl w:val="97BEB81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50"/>
    <w:rsid w:val="0000481C"/>
    <w:rsid w:val="0001340A"/>
    <w:rsid w:val="0001341F"/>
    <w:rsid w:val="00014E8B"/>
    <w:rsid w:val="000174AC"/>
    <w:rsid w:val="00022772"/>
    <w:rsid w:val="00022F7A"/>
    <w:rsid w:val="000238A8"/>
    <w:rsid w:val="00026A5E"/>
    <w:rsid w:val="00037459"/>
    <w:rsid w:val="00040828"/>
    <w:rsid w:val="00040BF8"/>
    <w:rsid w:val="00040F57"/>
    <w:rsid w:val="00041419"/>
    <w:rsid w:val="00043DF2"/>
    <w:rsid w:val="000445F0"/>
    <w:rsid w:val="000535D9"/>
    <w:rsid w:val="0006284E"/>
    <w:rsid w:val="00070985"/>
    <w:rsid w:val="00073666"/>
    <w:rsid w:val="00073D4B"/>
    <w:rsid w:val="000744BB"/>
    <w:rsid w:val="00080A55"/>
    <w:rsid w:val="00092224"/>
    <w:rsid w:val="000922F3"/>
    <w:rsid w:val="00094086"/>
    <w:rsid w:val="00096E65"/>
    <w:rsid w:val="000A7D07"/>
    <w:rsid w:val="000B77BA"/>
    <w:rsid w:val="000B7950"/>
    <w:rsid w:val="000D73B8"/>
    <w:rsid w:val="000E501F"/>
    <w:rsid w:val="000E7864"/>
    <w:rsid w:val="00100D98"/>
    <w:rsid w:val="0010276D"/>
    <w:rsid w:val="001119A1"/>
    <w:rsid w:val="001300C1"/>
    <w:rsid w:val="001306DB"/>
    <w:rsid w:val="001350E3"/>
    <w:rsid w:val="00143437"/>
    <w:rsid w:val="00150308"/>
    <w:rsid w:val="00151B7C"/>
    <w:rsid w:val="00152B96"/>
    <w:rsid w:val="0017121F"/>
    <w:rsid w:val="00180817"/>
    <w:rsid w:val="00187AE0"/>
    <w:rsid w:val="00190A5E"/>
    <w:rsid w:val="00192E18"/>
    <w:rsid w:val="001930DC"/>
    <w:rsid w:val="0019689D"/>
    <w:rsid w:val="001976A7"/>
    <w:rsid w:val="001B4EDB"/>
    <w:rsid w:val="001B5EAC"/>
    <w:rsid w:val="001C1F81"/>
    <w:rsid w:val="001C4836"/>
    <w:rsid w:val="001C55E8"/>
    <w:rsid w:val="001D2719"/>
    <w:rsid w:val="001E6F0E"/>
    <w:rsid w:val="001F2492"/>
    <w:rsid w:val="001F3199"/>
    <w:rsid w:val="001F5014"/>
    <w:rsid w:val="00205119"/>
    <w:rsid w:val="002067DF"/>
    <w:rsid w:val="00213F87"/>
    <w:rsid w:val="00226775"/>
    <w:rsid w:val="00231569"/>
    <w:rsid w:val="00234424"/>
    <w:rsid w:val="00234C7D"/>
    <w:rsid w:val="00236730"/>
    <w:rsid w:val="0024545C"/>
    <w:rsid w:val="00245D47"/>
    <w:rsid w:val="002521C3"/>
    <w:rsid w:val="00260960"/>
    <w:rsid w:val="00261BBF"/>
    <w:rsid w:val="002634B7"/>
    <w:rsid w:val="0026445B"/>
    <w:rsid w:val="00266F66"/>
    <w:rsid w:val="00271AE0"/>
    <w:rsid w:val="002768A3"/>
    <w:rsid w:val="00277D71"/>
    <w:rsid w:val="002807A2"/>
    <w:rsid w:val="00281130"/>
    <w:rsid w:val="00281551"/>
    <w:rsid w:val="00284A41"/>
    <w:rsid w:val="002A1298"/>
    <w:rsid w:val="002B372B"/>
    <w:rsid w:val="002B5583"/>
    <w:rsid w:val="002D4710"/>
    <w:rsid w:val="002F5023"/>
    <w:rsid w:val="0030178D"/>
    <w:rsid w:val="00301D20"/>
    <w:rsid w:val="00311FEC"/>
    <w:rsid w:val="003152D9"/>
    <w:rsid w:val="00315F2B"/>
    <w:rsid w:val="00321D19"/>
    <w:rsid w:val="00322331"/>
    <w:rsid w:val="00323F6C"/>
    <w:rsid w:val="00337CEA"/>
    <w:rsid w:val="00343A8C"/>
    <w:rsid w:val="003454E2"/>
    <w:rsid w:val="00362FDB"/>
    <w:rsid w:val="00363E15"/>
    <w:rsid w:val="0036636A"/>
    <w:rsid w:val="003665A0"/>
    <w:rsid w:val="00372DD2"/>
    <w:rsid w:val="003763CD"/>
    <w:rsid w:val="00380466"/>
    <w:rsid w:val="00382B87"/>
    <w:rsid w:val="00384CE9"/>
    <w:rsid w:val="003951CE"/>
    <w:rsid w:val="003A2CD5"/>
    <w:rsid w:val="003A357B"/>
    <w:rsid w:val="003A49A3"/>
    <w:rsid w:val="003A5ACB"/>
    <w:rsid w:val="003B1E3F"/>
    <w:rsid w:val="003C63C7"/>
    <w:rsid w:val="003C7AF3"/>
    <w:rsid w:val="003D0F0A"/>
    <w:rsid w:val="003E1758"/>
    <w:rsid w:val="003E3636"/>
    <w:rsid w:val="003E4D21"/>
    <w:rsid w:val="003F6B84"/>
    <w:rsid w:val="003F74F4"/>
    <w:rsid w:val="0040479F"/>
    <w:rsid w:val="004072FA"/>
    <w:rsid w:val="00410E3A"/>
    <w:rsid w:val="0041159E"/>
    <w:rsid w:val="00412230"/>
    <w:rsid w:val="004123CB"/>
    <w:rsid w:val="0041322D"/>
    <w:rsid w:val="004143D6"/>
    <w:rsid w:val="004223DF"/>
    <w:rsid w:val="00433ED3"/>
    <w:rsid w:val="00453326"/>
    <w:rsid w:val="00457B24"/>
    <w:rsid w:val="00457F40"/>
    <w:rsid w:val="00460485"/>
    <w:rsid w:val="00466085"/>
    <w:rsid w:val="004664CC"/>
    <w:rsid w:val="00474F84"/>
    <w:rsid w:val="00481FAB"/>
    <w:rsid w:val="00484A13"/>
    <w:rsid w:val="004862CB"/>
    <w:rsid w:val="004868A4"/>
    <w:rsid w:val="00486B7A"/>
    <w:rsid w:val="00491C09"/>
    <w:rsid w:val="004947E4"/>
    <w:rsid w:val="004A06DE"/>
    <w:rsid w:val="004A0785"/>
    <w:rsid w:val="004A6156"/>
    <w:rsid w:val="004A6F5A"/>
    <w:rsid w:val="004B4D88"/>
    <w:rsid w:val="004E57E5"/>
    <w:rsid w:val="004F28AA"/>
    <w:rsid w:val="0050200F"/>
    <w:rsid w:val="00503C3C"/>
    <w:rsid w:val="00510E8D"/>
    <w:rsid w:val="00512A32"/>
    <w:rsid w:val="005223A7"/>
    <w:rsid w:val="00527826"/>
    <w:rsid w:val="00527A43"/>
    <w:rsid w:val="00545482"/>
    <w:rsid w:val="00550F92"/>
    <w:rsid w:val="00557480"/>
    <w:rsid w:val="0055788F"/>
    <w:rsid w:val="00562340"/>
    <w:rsid w:val="005655AB"/>
    <w:rsid w:val="00570822"/>
    <w:rsid w:val="005756D2"/>
    <w:rsid w:val="005860C1"/>
    <w:rsid w:val="005866AC"/>
    <w:rsid w:val="005A0EA1"/>
    <w:rsid w:val="005A5E0D"/>
    <w:rsid w:val="005A707C"/>
    <w:rsid w:val="005A70A3"/>
    <w:rsid w:val="005A7992"/>
    <w:rsid w:val="005B59AD"/>
    <w:rsid w:val="005C5E82"/>
    <w:rsid w:val="005D6722"/>
    <w:rsid w:val="005E0EEC"/>
    <w:rsid w:val="005E2253"/>
    <w:rsid w:val="005F50D2"/>
    <w:rsid w:val="005F6668"/>
    <w:rsid w:val="00607925"/>
    <w:rsid w:val="0061117D"/>
    <w:rsid w:val="0061362C"/>
    <w:rsid w:val="006141B3"/>
    <w:rsid w:val="00621067"/>
    <w:rsid w:val="006238C8"/>
    <w:rsid w:val="00625AAA"/>
    <w:rsid w:val="00627875"/>
    <w:rsid w:val="00636731"/>
    <w:rsid w:val="00637614"/>
    <w:rsid w:val="00637D7F"/>
    <w:rsid w:val="0066167A"/>
    <w:rsid w:val="00661BAD"/>
    <w:rsid w:val="0066369C"/>
    <w:rsid w:val="006643A6"/>
    <w:rsid w:val="00666261"/>
    <w:rsid w:val="0068143A"/>
    <w:rsid w:val="00687853"/>
    <w:rsid w:val="006949CC"/>
    <w:rsid w:val="00697534"/>
    <w:rsid w:val="006A18B7"/>
    <w:rsid w:val="006A4B61"/>
    <w:rsid w:val="006A600C"/>
    <w:rsid w:val="006B053C"/>
    <w:rsid w:val="006B1EA1"/>
    <w:rsid w:val="006D46E6"/>
    <w:rsid w:val="006D5172"/>
    <w:rsid w:val="006D71C8"/>
    <w:rsid w:val="006D73F3"/>
    <w:rsid w:val="006F3BDD"/>
    <w:rsid w:val="007068F9"/>
    <w:rsid w:val="0072063B"/>
    <w:rsid w:val="007256EB"/>
    <w:rsid w:val="007273E7"/>
    <w:rsid w:val="00727D76"/>
    <w:rsid w:val="00731034"/>
    <w:rsid w:val="0073426F"/>
    <w:rsid w:val="00736426"/>
    <w:rsid w:val="007407C9"/>
    <w:rsid w:val="0074516C"/>
    <w:rsid w:val="00757485"/>
    <w:rsid w:val="00765499"/>
    <w:rsid w:val="00781735"/>
    <w:rsid w:val="0079050D"/>
    <w:rsid w:val="0079318F"/>
    <w:rsid w:val="0079479A"/>
    <w:rsid w:val="007A0BBB"/>
    <w:rsid w:val="007C3AD4"/>
    <w:rsid w:val="007C6BA9"/>
    <w:rsid w:val="007D31C3"/>
    <w:rsid w:val="007E3351"/>
    <w:rsid w:val="007E3CF1"/>
    <w:rsid w:val="007E6929"/>
    <w:rsid w:val="007F23FB"/>
    <w:rsid w:val="007F300D"/>
    <w:rsid w:val="007F486A"/>
    <w:rsid w:val="00802D21"/>
    <w:rsid w:val="008035B0"/>
    <w:rsid w:val="00803D64"/>
    <w:rsid w:val="00804916"/>
    <w:rsid w:val="0081646D"/>
    <w:rsid w:val="00820AB7"/>
    <w:rsid w:val="00831F4E"/>
    <w:rsid w:val="0083524F"/>
    <w:rsid w:val="008359AA"/>
    <w:rsid w:val="00836BFE"/>
    <w:rsid w:val="00845C95"/>
    <w:rsid w:val="00847856"/>
    <w:rsid w:val="00855A68"/>
    <w:rsid w:val="00855D6A"/>
    <w:rsid w:val="0087219C"/>
    <w:rsid w:val="00883A25"/>
    <w:rsid w:val="00891C5A"/>
    <w:rsid w:val="0089374E"/>
    <w:rsid w:val="00895A71"/>
    <w:rsid w:val="008A212D"/>
    <w:rsid w:val="008B052B"/>
    <w:rsid w:val="008B60E1"/>
    <w:rsid w:val="008C04B4"/>
    <w:rsid w:val="008C1EF8"/>
    <w:rsid w:val="008C21BE"/>
    <w:rsid w:val="008C7272"/>
    <w:rsid w:val="008D387D"/>
    <w:rsid w:val="008E5884"/>
    <w:rsid w:val="008E5961"/>
    <w:rsid w:val="008F2552"/>
    <w:rsid w:val="009035A8"/>
    <w:rsid w:val="00921AA0"/>
    <w:rsid w:val="00922107"/>
    <w:rsid w:val="00926786"/>
    <w:rsid w:val="00940D50"/>
    <w:rsid w:val="0094538B"/>
    <w:rsid w:val="00947C07"/>
    <w:rsid w:val="009530FD"/>
    <w:rsid w:val="00961EE5"/>
    <w:rsid w:val="00980C01"/>
    <w:rsid w:val="009903F7"/>
    <w:rsid w:val="00991FB5"/>
    <w:rsid w:val="00992CD0"/>
    <w:rsid w:val="00996B34"/>
    <w:rsid w:val="009974A4"/>
    <w:rsid w:val="009A314A"/>
    <w:rsid w:val="009A4A2C"/>
    <w:rsid w:val="009B5E9D"/>
    <w:rsid w:val="009B68A0"/>
    <w:rsid w:val="009C16A4"/>
    <w:rsid w:val="009C470E"/>
    <w:rsid w:val="009D17F3"/>
    <w:rsid w:val="009E363D"/>
    <w:rsid w:val="009F26FE"/>
    <w:rsid w:val="00A078B6"/>
    <w:rsid w:val="00A11F75"/>
    <w:rsid w:val="00A13F32"/>
    <w:rsid w:val="00A15DCE"/>
    <w:rsid w:val="00A227B4"/>
    <w:rsid w:val="00A228E8"/>
    <w:rsid w:val="00A32ADC"/>
    <w:rsid w:val="00A33B0F"/>
    <w:rsid w:val="00A41009"/>
    <w:rsid w:val="00A448F7"/>
    <w:rsid w:val="00A457A3"/>
    <w:rsid w:val="00A46CB2"/>
    <w:rsid w:val="00A504DF"/>
    <w:rsid w:val="00A509BC"/>
    <w:rsid w:val="00A52F57"/>
    <w:rsid w:val="00A55B96"/>
    <w:rsid w:val="00A61830"/>
    <w:rsid w:val="00A668F3"/>
    <w:rsid w:val="00A8407D"/>
    <w:rsid w:val="00A85229"/>
    <w:rsid w:val="00A9143E"/>
    <w:rsid w:val="00A95EA4"/>
    <w:rsid w:val="00A96C55"/>
    <w:rsid w:val="00A96C70"/>
    <w:rsid w:val="00A97852"/>
    <w:rsid w:val="00AA0C07"/>
    <w:rsid w:val="00AA709A"/>
    <w:rsid w:val="00AA709E"/>
    <w:rsid w:val="00AB3729"/>
    <w:rsid w:val="00AB66C6"/>
    <w:rsid w:val="00AB739B"/>
    <w:rsid w:val="00AB7631"/>
    <w:rsid w:val="00AC3157"/>
    <w:rsid w:val="00AC5AF1"/>
    <w:rsid w:val="00AE02DD"/>
    <w:rsid w:val="00AE5474"/>
    <w:rsid w:val="00AF6507"/>
    <w:rsid w:val="00B04E3F"/>
    <w:rsid w:val="00B1481D"/>
    <w:rsid w:val="00B21E78"/>
    <w:rsid w:val="00B231F8"/>
    <w:rsid w:val="00B24F7B"/>
    <w:rsid w:val="00B26E15"/>
    <w:rsid w:val="00B34322"/>
    <w:rsid w:val="00B512A9"/>
    <w:rsid w:val="00B515B8"/>
    <w:rsid w:val="00B522CD"/>
    <w:rsid w:val="00B57B8B"/>
    <w:rsid w:val="00B72955"/>
    <w:rsid w:val="00B804E4"/>
    <w:rsid w:val="00B91815"/>
    <w:rsid w:val="00BA175A"/>
    <w:rsid w:val="00BA1845"/>
    <w:rsid w:val="00BB1CDE"/>
    <w:rsid w:val="00BB67D1"/>
    <w:rsid w:val="00BC07FE"/>
    <w:rsid w:val="00BC1577"/>
    <w:rsid w:val="00BC5817"/>
    <w:rsid w:val="00BC7C25"/>
    <w:rsid w:val="00BD0ED4"/>
    <w:rsid w:val="00BD5F53"/>
    <w:rsid w:val="00BD6690"/>
    <w:rsid w:val="00BE0CB4"/>
    <w:rsid w:val="00BE308F"/>
    <w:rsid w:val="00BF4942"/>
    <w:rsid w:val="00C10B29"/>
    <w:rsid w:val="00C146A5"/>
    <w:rsid w:val="00C14DCF"/>
    <w:rsid w:val="00C17100"/>
    <w:rsid w:val="00C25E17"/>
    <w:rsid w:val="00C26F5A"/>
    <w:rsid w:val="00C43269"/>
    <w:rsid w:val="00C476D6"/>
    <w:rsid w:val="00C5724A"/>
    <w:rsid w:val="00C608BD"/>
    <w:rsid w:val="00C626DE"/>
    <w:rsid w:val="00C723C6"/>
    <w:rsid w:val="00C73FDC"/>
    <w:rsid w:val="00C83403"/>
    <w:rsid w:val="00C8693A"/>
    <w:rsid w:val="00C929C1"/>
    <w:rsid w:val="00C94215"/>
    <w:rsid w:val="00C96789"/>
    <w:rsid w:val="00CB7ADA"/>
    <w:rsid w:val="00CD3B7D"/>
    <w:rsid w:val="00CD73AB"/>
    <w:rsid w:val="00CE3756"/>
    <w:rsid w:val="00CF4F4A"/>
    <w:rsid w:val="00D01603"/>
    <w:rsid w:val="00D04408"/>
    <w:rsid w:val="00D06520"/>
    <w:rsid w:val="00D21E4B"/>
    <w:rsid w:val="00D275F4"/>
    <w:rsid w:val="00D30AEB"/>
    <w:rsid w:val="00D34C2D"/>
    <w:rsid w:val="00D361A1"/>
    <w:rsid w:val="00D3783D"/>
    <w:rsid w:val="00D37D66"/>
    <w:rsid w:val="00D44927"/>
    <w:rsid w:val="00D5090A"/>
    <w:rsid w:val="00D528AE"/>
    <w:rsid w:val="00D556C5"/>
    <w:rsid w:val="00D56D11"/>
    <w:rsid w:val="00D60E0F"/>
    <w:rsid w:val="00D62E0A"/>
    <w:rsid w:val="00D638B9"/>
    <w:rsid w:val="00D778B1"/>
    <w:rsid w:val="00D849F0"/>
    <w:rsid w:val="00D97DA2"/>
    <w:rsid w:val="00DA23E5"/>
    <w:rsid w:val="00DB2208"/>
    <w:rsid w:val="00DB3BD3"/>
    <w:rsid w:val="00DB3E9B"/>
    <w:rsid w:val="00DB7A4C"/>
    <w:rsid w:val="00DC14EC"/>
    <w:rsid w:val="00DC18C9"/>
    <w:rsid w:val="00DC71A8"/>
    <w:rsid w:val="00DD0267"/>
    <w:rsid w:val="00DD0760"/>
    <w:rsid w:val="00DD5E81"/>
    <w:rsid w:val="00E02119"/>
    <w:rsid w:val="00E149D6"/>
    <w:rsid w:val="00E203FA"/>
    <w:rsid w:val="00E226FD"/>
    <w:rsid w:val="00E237F8"/>
    <w:rsid w:val="00E36387"/>
    <w:rsid w:val="00E414B9"/>
    <w:rsid w:val="00E42DBB"/>
    <w:rsid w:val="00E71ECA"/>
    <w:rsid w:val="00E7591D"/>
    <w:rsid w:val="00E810D2"/>
    <w:rsid w:val="00E84351"/>
    <w:rsid w:val="00E85CCA"/>
    <w:rsid w:val="00E90B92"/>
    <w:rsid w:val="00E925AB"/>
    <w:rsid w:val="00E9722E"/>
    <w:rsid w:val="00EA220A"/>
    <w:rsid w:val="00EA6C60"/>
    <w:rsid w:val="00EB3D63"/>
    <w:rsid w:val="00EB59E1"/>
    <w:rsid w:val="00EB68EF"/>
    <w:rsid w:val="00ED1CAA"/>
    <w:rsid w:val="00ED7338"/>
    <w:rsid w:val="00EE3688"/>
    <w:rsid w:val="00EE4CCC"/>
    <w:rsid w:val="00EF6507"/>
    <w:rsid w:val="00F00A83"/>
    <w:rsid w:val="00F16E08"/>
    <w:rsid w:val="00F21ED0"/>
    <w:rsid w:val="00F42CC5"/>
    <w:rsid w:val="00F43036"/>
    <w:rsid w:val="00F473C9"/>
    <w:rsid w:val="00F47AB1"/>
    <w:rsid w:val="00F57B58"/>
    <w:rsid w:val="00F61DC7"/>
    <w:rsid w:val="00F624E5"/>
    <w:rsid w:val="00F66566"/>
    <w:rsid w:val="00F909DD"/>
    <w:rsid w:val="00F922EF"/>
    <w:rsid w:val="00FA06AD"/>
    <w:rsid w:val="00FA1B00"/>
    <w:rsid w:val="00FA6547"/>
    <w:rsid w:val="00FA6BC9"/>
    <w:rsid w:val="00FA7B09"/>
    <w:rsid w:val="00FB100F"/>
    <w:rsid w:val="00FB239E"/>
    <w:rsid w:val="00FB3E26"/>
    <w:rsid w:val="00FB60B6"/>
    <w:rsid w:val="00FC73E9"/>
    <w:rsid w:val="00FD77D8"/>
    <w:rsid w:val="00FE2394"/>
    <w:rsid w:val="00FE6907"/>
    <w:rsid w:val="00FE7A54"/>
    <w:rsid w:val="00FF0F5B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40D50"/>
    <w:pPr>
      <w:widowControl w:val="0"/>
      <w:spacing w:before="49" w:after="0" w:line="240" w:lineRule="auto"/>
      <w:ind w:left="2940" w:hanging="444"/>
      <w:outlineLvl w:val="0"/>
    </w:pPr>
    <w:rPr>
      <w:rFonts w:ascii="Arial" w:eastAsia="Arial" w:hAnsi="Arial" w:cs="Arial"/>
      <w:b/>
      <w:bCs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0D50"/>
    <w:rPr>
      <w:rFonts w:ascii="Arial" w:eastAsia="Arial" w:hAnsi="Arial" w:cs="Arial"/>
      <w:b/>
      <w:bCs/>
      <w:sz w:val="40"/>
      <w:szCs w:val="4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0D5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0D50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72"/>
  </w:style>
  <w:style w:type="paragraph" w:styleId="Footer">
    <w:name w:val="footer"/>
    <w:basedOn w:val="Normal"/>
    <w:link w:val="FooterChar"/>
    <w:uiPriority w:val="99"/>
    <w:unhideWhenUsed/>
    <w:rsid w:val="006D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72"/>
  </w:style>
  <w:style w:type="paragraph" w:styleId="BalloonText">
    <w:name w:val="Balloon Text"/>
    <w:basedOn w:val="Normal"/>
    <w:link w:val="BalloonTextChar"/>
    <w:uiPriority w:val="99"/>
    <w:semiHidden/>
    <w:unhideWhenUsed/>
    <w:rsid w:val="0010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98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8C727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PageNumber">
    <w:name w:val="page number"/>
    <w:basedOn w:val="DefaultParagraphFont"/>
    <w:semiHidden/>
    <w:rsid w:val="00A448F7"/>
  </w:style>
  <w:style w:type="paragraph" w:customStyle="1" w:styleId="yiv736783227msonormal">
    <w:name w:val="yiv736783227msonormal"/>
    <w:basedOn w:val="Normal"/>
    <w:rsid w:val="003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0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6D1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1E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40D50"/>
    <w:pPr>
      <w:widowControl w:val="0"/>
      <w:spacing w:before="49" w:after="0" w:line="240" w:lineRule="auto"/>
      <w:ind w:left="2940" w:hanging="444"/>
      <w:outlineLvl w:val="0"/>
    </w:pPr>
    <w:rPr>
      <w:rFonts w:ascii="Arial" w:eastAsia="Arial" w:hAnsi="Arial" w:cs="Arial"/>
      <w:b/>
      <w:bCs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0D50"/>
    <w:rPr>
      <w:rFonts w:ascii="Arial" w:eastAsia="Arial" w:hAnsi="Arial" w:cs="Arial"/>
      <w:b/>
      <w:bCs/>
      <w:sz w:val="40"/>
      <w:szCs w:val="4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0D5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0D50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72"/>
  </w:style>
  <w:style w:type="paragraph" w:styleId="Footer">
    <w:name w:val="footer"/>
    <w:basedOn w:val="Normal"/>
    <w:link w:val="FooterChar"/>
    <w:uiPriority w:val="99"/>
    <w:unhideWhenUsed/>
    <w:rsid w:val="006D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72"/>
  </w:style>
  <w:style w:type="paragraph" w:styleId="BalloonText">
    <w:name w:val="Balloon Text"/>
    <w:basedOn w:val="Normal"/>
    <w:link w:val="BalloonTextChar"/>
    <w:uiPriority w:val="99"/>
    <w:semiHidden/>
    <w:unhideWhenUsed/>
    <w:rsid w:val="0010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98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8C727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PageNumber">
    <w:name w:val="page number"/>
    <w:basedOn w:val="DefaultParagraphFont"/>
    <w:semiHidden/>
    <w:rsid w:val="00A448F7"/>
  </w:style>
  <w:style w:type="paragraph" w:customStyle="1" w:styleId="yiv736783227msonormal">
    <w:name w:val="yiv736783227msonormal"/>
    <w:basedOn w:val="Normal"/>
    <w:rsid w:val="003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0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6D1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1E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la\ERC\ERC%20FY-21\Chapter-1,%202%20,%206%20&amp;%209%20and%20others\Excel_Chap-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la\ERC\ERC%20FY-21\Chapter-1,%202%20,%206%20&amp;%209%20and%20others\Excel_Chap-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Kala\ERC\ERC%20FY-21\Chapter-1,%202%20,%206%20&amp;%209%20and%20others\Excel_Chap-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Kala\ERC\ERC%20FY-21\Chapter-1,%202%20,%206%20&amp;%209%20and%20others\Excel_Chap-1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Kala\ERC\ERC%20FY-21\Chapter-1,%202%20,%206%20&amp;%209%20and%20others\Excel_Chap-1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Kala\ERC\ERC%20FY-21\Chapter-1,%202%20,%206%20&amp;%209%20and%20others\Excel_Chap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IN">
                <a:latin typeface="Bookman Old Style" panose="02050604050505020204" pitchFamily="18" charset="0"/>
              </a:rPr>
              <a:t>CONSUMERS</a:t>
            </a:r>
          </a:p>
        </c:rich>
      </c:tx>
      <c:overlay val="0"/>
    </c:title>
    <c:autoTitleDeleted val="0"/>
    <c:view3D>
      <c:rotX val="30"/>
      <c:rotY val="204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Consumers_Kala!$B$4</c:f>
              <c:strCache>
                <c:ptCount val="1"/>
                <c:pt idx="0">
                  <c:v>CONSUMERS</c:v>
                </c:pt>
              </c:strCache>
            </c:strRef>
          </c:tx>
          <c:explosion val="2"/>
          <c:dLbls>
            <c:numFmt formatCode="0.00%" sourceLinked="0"/>
            <c:txPr>
              <a:bodyPr/>
              <a:lstStyle/>
              <a:p>
                <a:pPr>
                  <a:defRPr b="1">
                    <a:latin typeface="Bookman Old Style" panose="02050604050505020204" pitchFamily="18" charset="0"/>
                  </a:defRPr>
                </a:pPr>
                <a:endParaRPr lang="en-US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Consumers_Kala!$P$3:$W$3</c:f>
              <c:strCache>
                <c:ptCount val="8"/>
                <c:pt idx="0">
                  <c:v>LT1</c:v>
                </c:pt>
                <c:pt idx="1">
                  <c:v>LT2</c:v>
                </c:pt>
                <c:pt idx="2">
                  <c:v>LT3</c:v>
                </c:pt>
                <c:pt idx="3">
                  <c:v>LT4</c:v>
                </c:pt>
                <c:pt idx="4">
                  <c:v>LT5</c:v>
                </c:pt>
                <c:pt idx="5">
                  <c:v>LT6</c:v>
                </c:pt>
                <c:pt idx="6">
                  <c:v>LT7</c:v>
                </c:pt>
                <c:pt idx="7">
                  <c:v>HT</c:v>
                </c:pt>
              </c:strCache>
            </c:strRef>
          </c:cat>
          <c:val>
            <c:numRef>
              <c:f>Consumers_Kala!$P$4:$W$4</c:f>
              <c:numCache>
                <c:formatCode>0</c:formatCode>
                <c:ptCount val="8"/>
                <c:pt idx="0">
                  <c:v>844227</c:v>
                </c:pt>
                <c:pt idx="1">
                  <c:v>8285969</c:v>
                </c:pt>
                <c:pt idx="2">
                  <c:v>1143767</c:v>
                </c:pt>
                <c:pt idx="3">
                  <c:v>935919</c:v>
                </c:pt>
                <c:pt idx="4">
                  <c:v>218866</c:v>
                </c:pt>
                <c:pt idx="5">
                  <c:v>152225</c:v>
                </c:pt>
                <c:pt idx="6">
                  <c:v>766515</c:v>
                </c:pt>
                <c:pt idx="7">
                  <c:v>17925</c:v>
                </c:pt>
              </c:numCache>
            </c:numRef>
          </c:val>
        </c:ser>
        <c:ser>
          <c:idx val="1"/>
          <c:order val="1"/>
          <c:tx>
            <c:strRef>
              <c:f>Consumers_Kala!$B$5</c:f>
              <c:strCache>
                <c:ptCount val="1"/>
                <c:pt idx="0">
                  <c:v>PERCENT</c:v>
                </c:pt>
              </c:strCache>
            </c:strRef>
          </c:tx>
          <c:cat>
            <c:strRef>
              <c:f>Consumers_Kala!$P$3:$W$3</c:f>
              <c:strCache>
                <c:ptCount val="8"/>
                <c:pt idx="0">
                  <c:v>LT1</c:v>
                </c:pt>
                <c:pt idx="1">
                  <c:v>LT2</c:v>
                </c:pt>
                <c:pt idx="2">
                  <c:v>LT3</c:v>
                </c:pt>
                <c:pt idx="3">
                  <c:v>LT4</c:v>
                </c:pt>
                <c:pt idx="4">
                  <c:v>LT5</c:v>
                </c:pt>
                <c:pt idx="5">
                  <c:v>LT6</c:v>
                </c:pt>
                <c:pt idx="6">
                  <c:v>LT7</c:v>
                </c:pt>
                <c:pt idx="7">
                  <c:v>HT</c:v>
                </c:pt>
              </c:strCache>
            </c:strRef>
          </c:cat>
          <c:val>
            <c:numRef>
              <c:f>Consumers_Kala!$C$5:$K$5</c:f>
              <c:numCache>
                <c:formatCode>0.00%</c:formatCode>
                <c:ptCount val="9"/>
                <c:pt idx="0">
                  <c:v>6.7829275091741775E-2</c:v>
                </c:pt>
                <c:pt idx="1">
                  <c:v>0.67053635814671131</c:v>
                </c:pt>
                <c:pt idx="2">
                  <c:v>9.2497274454156925E-2</c:v>
                </c:pt>
                <c:pt idx="3">
                  <c:v>7.568845456273883E-2</c:v>
                </c:pt>
                <c:pt idx="4">
                  <c:v>1.7699853615888123E-2</c:v>
                </c:pt>
                <c:pt idx="5">
                  <c:v>1.2310547168946157E-2</c:v>
                </c:pt>
                <c:pt idx="6">
                  <c:v>6.1988629089865417E-2</c:v>
                </c:pt>
                <c:pt idx="7">
                  <c:v>1.4496078699514526E-3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>
                <a:latin typeface="Bookman Old Style" panose="02050604050505020204" pitchFamily="18" charset="0"/>
              </a:defRPr>
            </a:pPr>
            <a:r>
              <a:rPr lang="en-US" sz="1600">
                <a:latin typeface="Bookman Old Style" panose="02050604050505020204" pitchFamily="18" charset="0"/>
              </a:rPr>
              <a:t>ENERGY CONSUMPTION </a:t>
            </a:r>
          </a:p>
        </c:rich>
      </c:tx>
      <c:overlay val="0"/>
    </c:title>
    <c:autoTitleDeleted val="0"/>
    <c:view3D>
      <c:rotX val="30"/>
      <c:rotY val="8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Consumption_Kala!$C$4</c:f>
              <c:strCache>
                <c:ptCount val="1"/>
                <c:pt idx="0">
                  <c:v>CONSUMPTION</c:v>
                </c:pt>
              </c:strCache>
            </c:strRef>
          </c:tx>
          <c:dLbls>
            <c:numFmt formatCode="0.00%" sourceLinked="0"/>
            <c:txPr>
              <a:bodyPr/>
              <a:lstStyle/>
              <a:p>
                <a:pPr>
                  <a:defRPr>
                    <a:latin typeface="Bookman Old Style" panose="020506040505050202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Consumption_Kala!$D$3:$K$3</c:f>
              <c:strCache>
                <c:ptCount val="8"/>
                <c:pt idx="0">
                  <c:v>LT1</c:v>
                </c:pt>
                <c:pt idx="1">
                  <c:v>LT2</c:v>
                </c:pt>
                <c:pt idx="2">
                  <c:v>LT3</c:v>
                </c:pt>
                <c:pt idx="3">
                  <c:v>LT4</c:v>
                </c:pt>
                <c:pt idx="4">
                  <c:v>LT5</c:v>
                </c:pt>
                <c:pt idx="5">
                  <c:v>LT6</c:v>
                </c:pt>
                <c:pt idx="6">
                  <c:v>LT7</c:v>
                </c:pt>
                <c:pt idx="7">
                  <c:v>HT</c:v>
                </c:pt>
              </c:strCache>
            </c:strRef>
          </c:cat>
          <c:val>
            <c:numRef>
              <c:f>Consumption_Kala!$D$4:$K$4</c:f>
              <c:numCache>
                <c:formatCode>0.00</c:formatCode>
                <c:ptCount val="8"/>
                <c:pt idx="0">
                  <c:v>224.43</c:v>
                </c:pt>
                <c:pt idx="1">
                  <c:v>7342.3899999999994</c:v>
                </c:pt>
                <c:pt idx="2">
                  <c:v>2240.8180000000002</c:v>
                </c:pt>
                <c:pt idx="3">
                  <c:v>6923.38</c:v>
                </c:pt>
                <c:pt idx="4">
                  <c:v>1217.67</c:v>
                </c:pt>
                <c:pt idx="5">
                  <c:v>1842.02</c:v>
                </c:pt>
                <c:pt idx="6">
                  <c:v>205.45</c:v>
                </c:pt>
                <c:pt idx="7">
                  <c:v>7838.4392109999999</c:v>
                </c:pt>
              </c:numCache>
            </c:numRef>
          </c:val>
        </c:ser>
        <c:ser>
          <c:idx val="1"/>
          <c:order val="1"/>
          <c:tx>
            <c:strRef>
              <c:f>Consumption_Kala!$C$5</c:f>
              <c:strCache>
                <c:ptCount val="1"/>
                <c:pt idx="0">
                  <c:v>PERCENT</c:v>
                </c:pt>
              </c:strCache>
            </c:strRef>
          </c:tx>
          <c:cat>
            <c:strRef>
              <c:f>Consumption_Kala!$D$3:$K$3</c:f>
              <c:strCache>
                <c:ptCount val="8"/>
                <c:pt idx="0">
                  <c:v>LT1</c:v>
                </c:pt>
                <c:pt idx="1">
                  <c:v>LT2</c:v>
                </c:pt>
                <c:pt idx="2">
                  <c:v>LT3</c:v>
                </c:pt>
                <c:pt idx="3">
                  <c:v>LT4</c:v>
                </c:pt>
                <c:pt idx="4">
                  <c:v>LT5</c:v>
                </c:pt>
                <c:pt idx="5">
                  <c:v>LT6</c:v>
                </c:pt>
                <c:pt idx="6">
                  <c:v>LT7</c:v>
                </c:pt>
                <c:pt idx="7">
                  <c:v>HT</c:v>
                </c:pt>
              </c:strCache>
            </c:strRef>
          </c:cat>
          <c:val>
            <c:numRef>
              <c:f>Consumption_Kala!$D$5:$K$5</c:f>
              <c:numCache>
                <c:formatCode>0.00%</c:formatCode>
                <c:ptCount val="8"/>
                <c:pt idx="0">
                  <c:v>8.0629871630154976E-3</c:v>
                </c:pt>
                <c:pt idx="1">
                  <c:v>0.2637864648926318</c:v>
                </c:pt>
                <c:pt idx="2">
                  <c:v>8.0504775514209606E-2</c:v>
                </c:pt>
                <c:pt idx="3">
                  <c:v>0.24873289695975687</c:v>
                </c:pt>
                <c:pt idx="4">
                  <c:v>4.3746636273176855E-2</c:v>
                </c:pt>
                <c:pt idx="5">
                  <c:v>6.6177354248620091E-2</c:v>
                </c:pt>
                <c:pt idx="6">
                  <c:v>7.381101958924983E-3</c:v>
                </c:pt>
                <c:pt idx="7">
                  <c:v>0.28160778298966416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705415709046725E-2"/>
          <c:y val="0.1429602642953213"/>
          <c:w val="0.81411538583583787"/>
          <c:h val="0.640350739739622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'Revenue Demand Comparison'!$D$3</c:f>
              <c:strCache>
                <c:ptCount val="1"/>
                <c:pt idx="0">
                  <c:v>FY18</c:v>
                </c:pt>
              </c:strCache>
            </c:strRef>
          </c:tx>
          <c:invertIfNegative val="0"/>
          <c:cat>
            <c:strRef>
              <c:f>'Revenue Demand Comparison'!$C$4:$C$11</c:f>
              <c:strCache>
                <c:ptCount val="8"/>
                <c:pt idx="0">
                  <c:v>LT Domestic</c:v>
                </c:pt>
                <c:pt idx="1">
                  <c:v>LT Commercial</c:v>
                </c:pt>
                <c:pt idx="2">
                  <c:v>LT Agriculture</c:v>
                </c:pt>
                <c:pt idx="3">
                  <c:v>LT Others</c:v>
                </c:pt>
                <c:pt idx="4">
                  <c:v>LT Industrial</c:v>
                </c:pt>
                <c:pt idx="5">
                  <c:v>HT Industrial</c:v>
                </c:pt>
                <c:pt idx="6">
                  <c:v>HT Commercial</c:v>
                </c:pt>
                <c:pt idx="7">
                  <c:v>HT Others</c:v>
                </c:pt>
              </c:strCache>
            </c:strRef>
          </c:cat>
          <c:val>
            <c:numRef>
              <c:f>'Revenue Demand Comparison'!$D$4:$D$11</c:f>
              <c:numCache>
                <c:formatCode>General</c:formatCode>
                <c:ptCount val="8"/>
                <c:pt idx="0">
                  <c:v>3987.32</c:v>
                </c:pt>
                <c:pt idx="1">
                  <c:v>1850.63</c:v>
                </c:pt>
                <c:pt idx="2">
                  <c:v>2105.63</c:v>
                </c:pt>
                <c:pt idx="3">
                  <c:v>979.87</c:v>
                </c:pt>
                <c:pt idx="4">
                  <c:v>861.31</c:v>
                </c:pt>
                <c:pt idx="5">
                  <c:v>3997.83</c:v>
                </c:pt>
                <c:pt idx="6">
                  <c:v>2984.09</c:v>
                </c:pt>
                <c:pt idx="7">
                  <c:v>526.17999999999995</c:v>
                </c:pt>
              </c:numCache>
            </c:numRef>
          </c:val>
        </c:ser>
        <c:ser>
          <c:idx val="1"/>
          <c:order val="1"/>
          <c:tx>
            <c:strRef>
              <c:f>'Revenue Demand Comparison'!$E$3</c:f>
              <c:strCache>
                <c:ptCount val="1"/>
                <c:pt idx="0">
                  <c:v>FY19</c:v>
                </c:pt>
              </c:strCache>
            </c:strRef>
          </c:tx>
          <c:invertIfNegative val="0"/>
          <c:cat>
            <c:strRef>
              <c:f>'Revenue Demand Comparison'!$C$4:$C$11</c:f>
              <c:strCache>
                <c:ptCount val="8"/>
                <c:pt idx="0">
                  <c:v>LT Domestic</c:v>
                </c:pt>
                <c:pt idx="1">
                  <c:v>LT Commercial</c:v>
                </c:pt>
                <c:pt idx="2">
                  <c:v>LT Agriculture</c:v>
                </c:pt>
                <c:pt idx="3">
                  <c:v>LT Others</c:v>
                </c:pt>
                <c:pt idx="4">
                  <c:v>LT Industrial</c:v>
                </c:pt>
                <c:pt idx="5">
                  <c:v>HT Industrial</c:v>
                </c:pt>
                <c:pt idx="6">
                  <c:v>HT Commercial</c:v>
                </c:pt>
                <c:pt idx="7">
                  <c:v>HT Others</c:v>
                </c:pt>
              </c:strCache>
            </c:strRef>
          </c:cat>
          <c:val>
            <c:numRef>
              <c:f>'Revenue Demand Comparison'!$E$4:$E$11</c:f>
              <c:numCache>
                <c:formatCode>0.00</c:formatCode>
                <c:ptCount val="8"/>
                <c:pt idx="0">
                  <c:v>4538.3</c:v>
                </c:pt>
                <c:pt idx="1">
                  <c:v>2011.26</c:v>
                </c:pt>
                <c:pt idx="2">
                  <c:v>2635.96</c:v>
                </c:pt>
                <c:pt idx="3">
                  <c:v>1166.97</c:v>
                </c:pt>
                <c:pt idx="4">
                  <c:v>950.21</c:v>
                </c:pt>
                <c:pt idx="5">
                  <c:v>3790.93</c:v>
                </c:pt>
                <c:pt idx="6">
                  <c:v>2951.74</c:v>
                </c:pt>
                <c:pt idx="7">
                  <c:v>577.32000000000005</c:v>
                </c:pt>
              </c:numCache>
            </c:numRef>
          </c:val>
        </c:ser>
        <c:ser>
          <c:idx val="2"/>
          <c:order val="2"/>
          <c:tx>
            <c:strRef>
              <c:f>'Revenue Demand Comparison'!$F$3</c:f>
              <c:strCache>
                <c:ptCount val="1"/>
                <c:pt idx="0">
                  <c:v>FY20</c:v>
                </c:pt>
              </c:strCache>
            </c:strRef>
          </c:tx>
          <c:invertIfNegative val="0"/>
          <c:cat>
            <c:strRef>
              <c:f>'Revenue Demand Comparison'!$C$4:$C$11</c:f>
              <c:strCache>
                <c:ptCount val="8"/>
                <c:pt idx="0">
                  <c:v>LT Domestic</c:v>
                </c:pt>
                <c:pt idx="1">
                  <c:v>LT Commercial</c:v>
                </c:pt>
                <c:pt idx="2">
                  <c:v>LT Agriculture</c:v>
                </c:pt>
                <c:pt idx="3">
                  <c:v>LT Others</c:v>
                </c:pt>
                <c:pt idx="4">
                  <c:v>LT Industrial</c:v>
                </c:pt>
                <c:pt idx="5">
                  <c:v>HT Industrial</c:v>
                </c:pt>
                <c:pt idx="6">
                  <c:v>HT Commercial</c:v>
                </c:pt>
                <c:pt idx="7">
                  <c:v>HT Others</c:v>
                </c:pt>
              </c:strCache>
            </c:strRef>
          </c:cat>
          <c:val>
            <c:numRef>
              <c:f>'Revenue Demand Comparison'!$F$4:$F$11</c:f>
              <c:numCache>
                <c:formatCode>0.00</c:formatCode>
                <c:ptCount val="8"/>
                <c:pt idx="0">
                  <c:v>5148.3280838300007</c:v>
                </c:pt>
                <c:pt idx="1">
                  <c:v>2238.8416341399993</c:v>
                </c:pt>
                <c:pt idx="2">
                  <c:v>2690.9670540219995</c:v>
                </c:pt>
                <c:pt idx="3">
                  <c:v>1509.8001165319997</c:v>
                </c:pt>
                <c:pt idx="4">
                  <c:v>989.52985250799998</c:v>
                </c:pt>
                <c:pt idx="5">
                  <c:v>3705.7428849940002</c:v>
                </c:pt>
                <c:pt idx="6">
                  <c:v>3086.7354638630004</c:v>
                </c:pt>
                <c:pt idx="7">
                  <c:v>639.98168806499973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32576"/>
        <c:axId val="155034368"/>
        <c:axId val="0"/>
      </c:bar3DChart>
      <c:catAx>
        <c:axId val="15503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5034368"/>
        <c:crossesAt val="0"/>
        <c:auto val="1"/>
        <c:lblAlgn val="ctr"/>
        <c:lblOffset val="100"/>
        <c:noMultiLvlLbl val="0"/>
      </c:catAx>
      <c:valAx>
        <c:axId val="15503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03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530183727034139E-2"/>
          <c:y val="0.17633739040049054"/>
          <c:w val="0.83833202099737525"/>
          <c:h val="0.647430235578829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'ARR,APP'!$D$96</c:f>
              <c:strCache>
                <c:ptCount val="1"/>
                <c:pt idx="0">
                  <c:v>Actual</c:v>
                </c:pt>
              </c:strCache>
            </c:strRef>
          </c:tx>
          <c:invertIfNegative val="0"/>
          <c:cat>
            <c:strRef>
              <c:f>'ARR,APP'!$C$97:$C$105</c:f>
              <c:strCache>
                <c:ptCount val="9"/>
                <c:pt idx="0">
                  <c:v>FY-13</c:v>
                </c:pt>
                <c:pt idx="1">
                  <c:v>FY-14</c:v>
                </c:pt>
                <c:pt idx="2">
                  <c:v>FY-15</c:v>
                </c:pt>
                <c:pt idx="3">
                  <c:v>FY-16</c:v>
                </c:pt>
                <c:pt idx="4">
                  <c:v>FY-17</c:v>
                </c:pt>
                <c:pt idx="5">
                  <c:v>FY-18</c:v>
                </c:pt>
                <c:pt idx="6">
                  <c:v>FY-19</c:v>
                </c:pt>
                <c:pt idx="7">
                  <c:v>FY-20</c:v>
                </c:pt>
                <c:pt idx="8">
                  <c:v>FY-21</c:v>
                </c:pt>
              </c:strCache>
            </c:strRef>
          </c:cat>
          <c:val>
            <c:numRef>
              <c:f>'ARR,APP'!$D$97:$D$105</c:f>
              <c:numCache>
                <c:formatCode>0.00</c:formatCode>
                <c:ptCount val="9"/>
                <c:pt idx="0">
                  <c:v>3.8731044581900305</c:v>
                </c:pt>
                <c:pt idx="1">
                  <c:v>3.8322669006015464</c:v>
                </c:pt>
                <c:pt idx="2">
                  <c:v>4.0503755565374027</c:v>
                </c:pt>
                <c:pt idx="3">
                  <c:v>4.3209219499431963</c:v>
                </c:pt>
                <c:pt idx="4">
                  <c:v>4.3511412320288105</c:v>
                </c:pt>
                <c:pt idx="5">
                  <c:v>4.8445880427501811</c:v>
                </c:pt>
                <c:pt idx="6" formatCode="General">
                  <c:v>5.68</c:v>
                </c:pt>
                <c:pt idx="7" formatCode="General">
                  <c:v>5.91</c:v>
                </c:pt>
                <c:pt idx="8" formatCode="General">
                  <c:v>5.82</c:v>
                </c:pt>
              </c:numCache>
            </c:numRef>
          </c:val>
        </c:ser>
        <c:ser>
          <c:idx val="1"/>
          <c:order val="1"/>
          <c:tx>
            <c:strRef>
              <c:f>'ARR,APP'!$E$96</c:f>
              <c:strCache>
                <c:ptCount val="1"/>
                <c:pt idx="0">
                  <c:v>Appd.</c:v>
                </c:pt>
              </c:strCache>
            </c:strRef>
          </c:tx>
          <c:invertIfNegative val="0"/>
          <c:cat>
            <c:strRef>
              <c:f>'ARR,APP'!$C$97:$C$105</c:f>
              <c:strCache>
                <c:ptCount val="9"/>
                <c:pt idx="0">
                  <c:v>FY-13</c:v>
                </c:pt>
                <c:pt idx="1">
                  <c:v>FY-14</c:v>
                </c:pt>
                <c:pt idx="2">
                  <c:v>FY-15</c:v>
                </c:pt>
                <c:pt idx="3">
                  <c:v>FY-16</c:v>
                </c:pt>
                <c:pt idx="4">
                  <c:v>FY-17</c:v>
                </c:pt>
                <c:pt idx="5">
                  <c:v>FY-18</c:v>
                </c:pt>
                <c:pt idx="6">
                  <c:v>FY-19</c:v>
                </c:pt>
                <c:pt idx="7">
                  <c:v>FY-20</c:v>
                </c:pt>
                <c:pt idx="8">
                  <c:v>FY-21</c:v>
                </c:pt>
              </c:strCache>
            </c:strRef>
          </c:cat>
          <c:val>
            <c:numRef>
              <c:f>'ARR,APP'!$E$97:$E$105</c:f>
              <c:numCache>
                <c:formatCode>0.00</c:formatCode>
                <c:ptCount val="9"/>
                <c:pt idx="0">
                  <c:v>3.6073117268353272</c:v>
                </c:pt>
                <c:pt idx="1">
                  <c:v>3.6183656555610804</c:v>
                </c:pt>
                <c:pt idx="2">
                  <c:v>3.9016338827607466</c:v>
                </c:pt>
                <c:pt idx="3">
                  <c:v>3.892353463295966</c:v>
                </c:pt>
                <c:pt idx="4">
                  <c:v>4.1095371968888026</c:v>
                </c:pt>
                <c:pt idx="5">
                  <c:v>4.41</c:v>
                </c:pt>
                <c:pt idx="6" formatCode="General">
                  <c:v>4.8099999999999996</c:v>
                </c:pt>
                <c:pt idx="7" formatCode="General">
                  <c:v>5.39</c:v>
                </c:pt>
                <c:pt idx="8">
                  <c:v>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053056"/>
        <c:axId val="159658752"/>
      </c:barChart>
      <c:lineChart>
        <c:grouping val="standard"/>
        <c:varyColors val="0"/>
        <c:ser>
          <c:idx val="2"/>
          <c:order val="2"/>
          <c:tx>
            <c:strRef>
              <c:f>'ARR,APP'!$F$96</c:f>
              <c:strCache>
                <c:ptCount val="1"/>
                <c:pt idx="0">
                  <c:v>Diff.</c:v>
                </c:pt>
              </c:strCache>
            </c:strRef>
          </c:tx>
          <c:cat>
            <c:strRef>
              <c:f>'ARR,APP'!$C$97:$C$105</c:f>
              <c:strCache>
                <c:ptCount val="9"/>
                <c:pt idx="0">
                  <c:v>FY-13</c:v>
                </c:pt>
                <c:pt idx="1">
                  <c:v>FY-14</c:v>
                </c:pt>
                <c:pt idx="2">
                  <c:v>FY-15</c:v>
                </c:pt>
                <c:pt idx="3">
                  <c:v>FY-16</c:v>
                </c:pt>
                <c:pt idx="4">
                  <c:v>FY-17</c:v>
                </c:pt>
                <c:pt idx="5">
                  <c:v>FY-18</c:v>
                </c:pt>
                <c:pt idx="6">
                  <c:v>FY-19</c:v>
                </c:pt>
                <c:pt idx="7">
                  <c:v>FY-20</c:v>
                </c:pt>
                <c:pt idx="8">
                  <c:v>FY-21</c:v>
                </c:pt>
              </c:strCache>
            </c:strRef>
          </c:cat>
          <c:val>
            <c:numRef>
              <c:f>'ARR,APP'!$F$97:$F$105</c:f>
              <c:numCache>
                <c:formatCode>0.00</c:formatCode>
                <c:ptCount val="9"/>
                <c:pt idx="0">
                  <c:v>0.26579273135470327</c:v>
                </c:pt>
                <c:pt idx="1">
                  <c:v>0.21390124504046604</c:v>
                </c:pt>
                <c:pt idx="2">
                  <c:v>0.14874167377665604</c:v>
                </c:pt>
                <c:pt idx="3">
                  <c:v>0.42856848664723035</c:v>
                </c:pt>
                <c:pt idx="4">
                  <c:v>0.24160403514000794</c:v>
                </c:pt>
                <c:pt idx="5">
                  <c:v>0.43458804275018093</c:v>
                </c:pt>
                <c:pt idx="6">
                  <c:v>0.87000000000000011</c:v>
                </c:pt>
                <c:pt idx="7">
                  <c:v>0.52000000000000046</c:v>
                </c:pt>
                <c:pt idx="8">
                  <c:v>0.52000000000000046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666176"/>
        <c:axId val="159660288"/>
      </c:lineChart>
      <c:catAx>
        <c:axId val="155053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Bookman Old Style" panose="02050604050505020204" pitchFamily="18" charset="0"/>
              </a:defRPr>
            </a:pPr>
            <a:endParaRPr lang="en-US"/>
          </a:p>
        </c:txPr>
        <c:crossAx val="159658752"/>
        <c:crosses val="autoZero"/>
        <c:auto val="1"/>
        <c:lblAlgn val="ctr"/>
        <c:lblOffset val="100"/>
        <c:noMultiLvlLbl val="0"/>
      </c:catAx>
      <c:valAx>
        <c:axId val="15965875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Bookman Old Style" panose="02050604050505020204" pitchFamily="18" charset="0"/>
              </a:defRPr>
            </a:pPr>
            <a:endParaRPr lang="en-US"/>
          </a:p>
        </c:txPr>
        <c:crossAx val="155053056"/>
        <c:crosses val="autoZero"/>
        <c:crossBetween val="between"/>
      </c:valAx>
      <c:valAx>
        <c:axId val="15966028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crossAx val="159666176"/>
        <c:crosses val="max"/>
        <c:crossBetween val="between"/>
      </c:valAx>
      <c:catAx>
        <c:axId val="159666176"/>
        <c:scaling>
          <c:orientation val="minMax"/>
        </c:scaling>
        <c:delete val="1"/>
        <c:axPos val="b"/>
        <c:majorTickMark val="out"/>
        <c:minorTickMark val="none"/>
        <c:tickLblPos val="nextTo"/>
        <c:crossAx val="15966028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4.2528871391076153E-2"/>
          <c:y val="0.90683143773694952"/>
          <c:w val="0.9408044619422572"/>
          <c:h val="9.3168562263050508E-2"/>
        </c:manualLayout>
      </c:layout>
      <c:overlay val="0"/>
      <c:txPr>
        <a:bodyPr/>
        <a:lstStyle/>
        <a:p>
          <a:pPr>
            <a:defRPr>
              <a:latin typeface="Bookman Old Style" panose="020506040505050202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913002855444394E-2"/>
          <c:y val="0.14909292923344888"/>
          <c:w val="0.75432167444674392"/>
          <c:h val="0.68137352605431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'Open Access '!$B$20</c:f>
              <c:strCache>
                <c:ptCount val="1"/>
                <c:pt idx="0">
                  <c:v>Captive</c:v>
                </c:pt>
              </c:strCache>
            </c:strRef>
          </c:tx>
          <c:invertIfNegative val="0"/>
          <c:cat>
            <c:strRef>
              <c:f>'Open Access '!$A$21:$A$26</c:f>
              <c:strCache>
                <c:ptCount val="6"/>
                <c:pt idx="0">
                  <c:v>FY-15</c:v>
                </c:pt>
                <c:pt idx="1">
                  <c:v>FY-16</c:v>
                </c:pt>
                <c:pt idx="2">
                  <c:v>FY-17</c:v>
                </c:pt>
                <c:pt idx="3">
                  <c:v>FY-18</c:v>
                </c:pt>
                <c:pt idx="4">
                  <c:v>FY-19</c:v>
                </c:pt>
                <c:pt idx="5">
                  <c:v>FY-20</c:v>
                </c:pt>
              </c:strCache>
            </c:strRef>
          </c:cat>
          <c:val>
            <c:numRef>
              <c:f>'Open Access '!$B$21:$B$26</c:f>
              <c:numCache>
                <c:formatCode>General</c:formatCode>
                <c:ptCount val="6"/>
                <c:pt idx="0">
                  <c:v>64.790000000000006</c:v>
                </c:pt>
                <c:pt idx="1">
                  <c:v>63.06</c:v>
                </c:pt>
                <c:pt idx="2">
                  <c:v>441.19</c:v>
                </c:pt>
                <c:pt idx="3">
                  <c:v>1020.97</c:v>
                </c:pt>
                <c:pt idx="4">
                  <c:v>1040.23</c:v>
                </c:pt>
                <c:pt idx="5">
                  <c:v>1157.2239999999999</c:v>
                </c:pt>
              </c:numCache>
            </c:numRef>
          </c:val>
        </c:ser>
        <c:ser>
          <c:idx val="1"/>
          <c:order val="1"/>
          <c:tx>
            <c:strRef>
              <c:f>'Open Access '!$C$20</c:f>
              <c:strCache>
                <c:ptCount val="1"/>
                <c:pt idx="0">
                  <c:v>Non-Captive</c:v>
                </c:pt>
              </c:strCache>
            </c:strRef>
          </c:tx>
          <c:invertIfNegative val="0"/>
          <c:cat>
            <c:strRef>
              <c:f>'Open Access '!$A$21:$A$26</c:f>
              <c:strCache>
                <c:ptCount val="6"/>
                <c:pt idx="0">
                  <c:v>FY-15</c:v>
                </c:pt>
                <c:pt idx="1">
                  <c:v>FY-16</c:v>
                </c:pt>
                <c:pt idx="2">
                  <c:v>FY-17</c:v>
                </c:pt>
                <c:pt idx="3">
                  <c:v>FY-18</c:v>
                </c:pt>
                <c:pt idx="4">
                  <c:v>FY-19</c:v>
                </c:pt>
                <c:pt idx="5">
                  <c:v>FY-20</c:v>
                </c:pt>
              </c:strCache>
            </c:strRef>
          </c:cat>
          <c:val>
            <c:numRef>
              <c:f>'Open Access '!$C$21:$C$26</c:f>
              <c:numCache>
                <c:formatCode>General</c:formatCode>
                <c:ptCount val="6"/>
                <c:pt idx="0">
                  <c:v>196.71</c:v>
                </c:pt>
                <c:pt idx="1">
                  <c:v>1743.02</c:v>
                </c:pt>
                <c:pt idx="2">
                  <c:v>2563.2799999999997</c:v>
                </c:pt>
                <c:pt idx="3">
                  <c:v>2533.06</c:v>
                </c:pt>
                <c:pt idx="4">
                  <c:v>3220.5699999999997</c:v>
                </c:pt>
                <c:pt idx="5">
                  <c:v>3068.23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690112"/>
        <c:axId val="159700096"/>
      </c:barChart>
      <c:lineChart>
        <c:grouping val="standard"/>
        <c:varyColors val="0"/>
        <c:ser>
          <c:idx val="2"/>
          <c:order val="2"/>
          <c:tx>
            <c:strRef>
              <c:f>'Open Access '!$D$20</c:f>
              <c:strCache>
                <c:ptCount val="1"/>
                <c:pt idx="0">
                  <c:v>Total</c:v>
                </c:pt>
              </c:strCache>
            </c:strRef>
          </c:tx>
          <c:marker>
            <c:symbol val="triangle"/>
            <c:size val="5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'Open Access '!$A$21:$A$26</c:f>
              <c:strCache>
                <c:ptCount val="6"/>
                <c:pt idx="0">
                  <c:v>FY-15</c:v>
                </c:pt>
                <c:pt idx="1">
                  <c:v>FY-16</c:v>
                </c:pt>
                <c:pt idx="2">
                  <c:v>FY-17</c:v>
                </c:pt>
                <c:pt idx="3">
                  <c:v>FY-18</c:v>
                </c:pt>
                <c:pt idx="4">
                  <c:v>FY-19</c:v>
                </c:pt>
                <c:pt idx="5">
                  <c:v>FY-20</c:v>
                </c:pt>
              </c:strCache>
            </c:strRef>
          </c:cat>
          <c:val>
            <c:numRef>
              <c:f>'Open Access '!$D$21:$D$26</c:f>
              <c:numCache>
                <c:formatCode>0.00</c:formatCode>
                <c:ptCount val="6"/>
                <c:pt idx="0">
                  <c:v>261.5</c:v>
                </c:pt>
                <c:pt idx="1">
                  <c:v>1806.08</c:v>
                </c:pt>
                <c:pt idx="2">
                  <c:v>3004.4700000000003</c:v>
                </c:pt>
                <c:pt idx="3">
                  <c:v>3554.0299999999997</c:v>
                </c:pt>
                <c:pt idx="4">
                  <c:v>4260.8</c:v>
                </c:pt>
                <c:pt idx="5">
                  <c:v>4604.28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703424"/>
        <c:axId val="159701632"/>
      </c:lineChart>
      <c:catAx>
        <c:axId val="15969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9700096"/>
        <c:crosses val="autoZero"/>
        <c:auto val="1"/>
        <c:lblAlgn val="ctr"/>
        <c:lblOffset val="100"/>
        <c:noMultiLvlLbl val="0"/>
      </c:catAx>
      <c:valAx>
        <c:axId val="15970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Bookman Old Style" panose="02050604050505020204" pitchFamily="18" charset="0"/>
              </a:defRPr>
            </a:pPr>
            <a:endParaRPr lang="en-US"/>
          </a:p>
        </c:txPr>
        <c:crossAx val="159690112"/>
        <c:crosses val="autoZero"/>
        <c:crossBetween val="between"/>
      </c:valAx>
      <c:valAx>
        <c:axId val="159701632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Bookman Old Style" panose="02050604050505020204" pitchFamily="18" charset="0"/>
              </a:defRPr>
            </a:pPr>
            <a:endParaRPr lang="en-US"/>
          </a:p>
        </c:txPr>
        <c:crossAx val="159703424"/>
        <c:crosses val="max"/>
        <c:crossBetween val="between"/>
      </c:valAx>
      <c:catAx>
        <c:axId val="159703424"/>
        <c:scaling>
          <c:orientation val="minMax"/>
        </c:scaling>
        <c:delete val="1"/>
        <c:axPos val="b"/>
        <c:majorTickMark val="out"/>
        <c:minorTickMark val="none"/>
        <c:tickLblPos val="nextTo"/>
        <c:crossAx val="15970163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908775239538732"/>
          <c:y val="0.90905423395327078"/>
          <c:w val="0.49613063136385771"/>
          <c:h val="6.5139525885912888E-2"/>
        </c:manualLayout>
      </c:layout>
      <c:overlay val="0"/>
      <c:txPr>
        <a:bodyPr/>
        <a:lstStyle/>
        <a:p>
          <a:pPr>
            <a:defRPr>
              <a:latin typeface="Bookman Old Style" panose="020506040505050202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61804858285335E-2"/>
          <c:y val="0.15681129144571215"/>
          <c:w val="0.76394440627807425"/>
          <c:h val="0.604917778134876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'Open Access '!$J$44</c:f>
              <c:strCache>
                <c:ptCount val="1"/>
                <c:pt idx="0">
                  <c:v>Open Access</c:v>
                </c:pt>
              </c:strCache>
            </c:strRef>
          </c:tx>
          <c:invertIfNegative val="0"/>
          <c:cat>
            <c:strRef>
              <c:f>'Open Access '!$I$45:$I$50</c:f>
              <c:strCache>
                <c:ptCount val="6"/>
                <c:pt idx="0">
                  <c:v>FY-15</c:v>
                </c:pt>
                <c:pt idx="1">
                  <c:v>FY-16</c:v>
                </c:pt>
                <c:pt idx="2">
                  <c:v>FY-17</c:v>
                </c:pt>
                <c:pt idx="3">
                  <c:v>FY-18</c:v>
                </c:pt>
                <c:pt idx="4">
                  <c:v>FY-19</c:v>
                </c:pt>
                <c:pt idx="5">
                  <c:v>FY-20</c:v>
                </c:pt>
              </c:strCache>
            </c:strRef>
          </c:cat>
          <c:val>
            <c:numRef>
              <c:f>'Open Access '!$J$45:$J$50</c:f>
              <c:numCache>
                <c:formatCode>General</c:formatCode>
                <c:ptCount val="6"/>
                <c:pt idx="0">
                  <c:v>196.71</c:v>
                </c:pt>
                <c:pt idx="1">
                  <c:v>1743.02</c:v>
                </c:pt>
                <c:pt idx="2">
                  <c:v>2563.2799999999997</c:v>
                </c:pt>
                <c:pt idx="3">
                  <c:v>2533.06</c:v>
                </c:pt>
                <c:pt idx="4">
                  <c:v>3220.5699999999997</c:v>
                </c:pt>
                <c:pt idx="5" formatCode="0.00">
                  <c:v>3447.0549999999998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632256"/>
        <c:axId val="165646336"/>
      </c:barChart>
      <c:lineChart>
        <c:grouping val="standard"/>
        <c:varyColors val="0"/>
        <c:ser>
          <c:idx val="1"/>
          <c:order val="1"/>
          <c:tx>
            <c:strRef>
              <c:f>'Open Access '!$K$44</c:f>
              <c:strCache>
                <c:ptCount val="1"/>
                <c:pt idx="0">
                  <c:v>HT Sales</c:v>
                </c:pt>
              </c:strCache>
            </c:strRef>
          </c:tx>
          <c:cat>
            <c:strRef>
              <c:f>'Open Access '!$I$45:$I$50</c:f>
              <c:strCache>
                <c:ptCount val="6"/>
                <c:pt idx="0">
                  <c:v>FY-15</c:v>
                </c:pt>
                <c:pt idx="1">
                  <c:v>FY-16</c:v>
                </c:pt>
                <c:pt idx="2">
                  <c:v>FY-17</c:v>
                </c:pt>
                <c:pt idx="3">
                  <c:v>FY-18</c:v>
                </c:pt>
                <c:pt idx="4">
                  <c:v>FY-19</c:v>
                </c:pt>
                <c:pt idx="5">
                  <c:v>FY-20</c:v>
                </c:pt>
              </c:strCache>
            </c:strRef>
          </c:cat>
          <c:val>
            <c:numRef>
              <c:f>'Open Access '!$K$45:$K$50</c:f>
              <c:numCache>
                <c:formatCode>General</c:formatCode>
                <c:ptCount val="6"/>
                <c:pt idx="0">
                  <c:v>8830.68</c:v>
                </c:pt>
                <c:pt idx="1">
                  <c:v>8341.31</c:v>
                </c:pt>
                <c:pt idx="2">
                  <c:v>8231.3799999999992</c:v>
                </c:pt>
                <c:pt idx="3">
                  <c:v>8204.9599999999991</c:v>
                </c:pt>
                <c:pt idx="4">
                  <c:v>8210.56</c:v>
                </c:pt>
                <c:pt idx="5" formatCode="0.00">
                  <c:v>7838.4392109999999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649408"/>
        <c:axId val="165647872"/>
      </c:lineChart>
      <c:catAx>
        <c:axId val="16563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5646336"/>
        <c:crosses val="autoZero"/>
        <c:auto val="1"/>
        <c:lblAlgn val="ctr"/>
        <c:lblOffset val="100"/>
        <c:noMultiLvlLbl val="0"/>
      </c:catAx>
      <c:valAx>
        <c:axId val="16564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632256"/>
        <c:crosses val="autoZero"/>
        <c:crossBetween val="between"/>
      </c:valAx>
      <c:valAx>
        <c:axId val="16564787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65649408"/>
        <c:crosses val="max"/>
        <c:crossBetween val="between"/>
      </c:valAx>
      <c:catAx>
        <c:axId val="165649408"/>
        <c:scaling>
          <c:orientation val="minMax"/>
        </c:scaling>
        <c:delete val="1"/>
        <c:axPos val="b"/>
        <c:majorTickMark val="out"/>
        <c:minorTickMark val="none"/>
        <c:tickLblPos val="nextTo"/>
        <c:crossAx val="16564787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310845708044884"/>
          <c:y val="0.85686083882371844"/>
          <c:w val="0.75258433299864358"/>
          <c:h val="0.12301301623011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0.17041</cdr:x>
      <cdr:y>0</cdr:y>
    </cdr:from>
    <cdr:to>
      <cdr:x>0.88358</cdr:x>
      <cdr:y>0.09394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66775" y="0"/>
          <a:ext cx="3627434" cy="35969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0.00835</cdr:y>
    </cdr:from>
    <cdr:to>
      <cdr:x>1</cdr:x>
      <cdr:y>0.12317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9307"/>
          <a:ext cx="4572000" cy="4029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IN" sz="1200" b="1">
              <a:latin typeface="Bookman Old Style" panose="02050604050505020204" pitchFamily="18" charset="0"/>
            </a:rPr>
            <a:t>Average Power Purchase</a:t>
          </a:r>
          <a:r>
            <a:rPr lang="en-IN" sz="1200" b="1" baseline="0">
              <a:latin typeface="Bookman Old Style" panose="02050604050505020204" pitchFamily="18" charset="0"/>
            </a:rPr>
            <a:t> Cost-Actuals Vs. Approved</a:t>
          </a:r>
          <a:endParaRPr lang="en-IN" sz="1200" b="1">
            <a:latin typeface="Bookman Old Style" panose="020506040505050202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0.02711</cdr:x>
      <cdr:y>2.58291E-7</cdr:y>
    </cdr:from>
    <cdr:to>
      <cdr:x>0.98156</cdr:x>
      <cdr:y>0.08365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2875" y="1"/>
          <a:ext cx="50292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IN" sz="1400" b="1">
              <a:effectLst/>
              <a:latin typeface="Bookman Old Style" panose="02050604050505020204" pitchFamily="18" charset="0"/>
              <a:ea typeface="+mn-ea"/>
              <a:cs typeface="+mn-cs"/>
            </a:rPr>
            <a:t>Consumer participation in Wheeling and Open access</a:t>
          </a:r>
          <a:endParaRPr lang="en-IN" sz="1400">
            <a:latin typeface="Bookman Old Style" panose="020506040505050202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0.08948</cdr:x>
      <cdr:y>0.04422</cdr:y>
    </cdr:from>
    <cdr:to>
      <cdr:x>0.92674</cdr:x>
      <cdr:y>0.12075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07980" y="165116"/>
          <a:ext cx="4753003" cy="2857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0.17617</cdr:x>
      <cdr:y>0.02296</cdr:y>
    </cdr:from>
    <cdr:to>
      <cdr:x>0.79046</cdr:x>
      <cdr:y>0.13236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00125" y="85725"/>
          <a:ext cx="3487214" cy="40846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3668-61EE-4534-8705-FF4C07DF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DGM(COSTING)</dc:creator>
  <cp:lastModifiedBy>acer</cp:lastModifiedBy>
  <cp:revision>64</cp:revision>
  <cp:lastPrinted>2020-11-21T07:39:00Z</cp:lastPrinted>
  <dcterms:created xsi:type="dcterms:W3CDTF">2020-09-09T08:01:00Z</dcterms:created>
  <dcterms:modified xsi:type="dcterms:W3CDTF">2020-11-27T05:29:00Z</dcterms:modified>
</cp:coreProperties>
</file>