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B7" w:rsidRPr="00C278B7" w:rsidRDefault="00C278B7" w:rsidP="00C278B7">
      <w:pPr>
        <w:pStyle w:val="Heading1"/>
        <w:spacing w:line="360" w:lineRule="auto"/>
        <w:ind w:left="0" w:firstLine="0"/>
        <w:jc w:val="center"/>
        <w:rPr>
          <w:rFonts w:ascii="Bookman Old Style" w:hAnsi="Bookman Old Style"/>
          <w:sz w:val="32"/>
          <w:u w:val="single"/>
        </w:rPr>
      </w:pPr>
      <w:bookmarkStart w:id="0" w:name="Rational"/>
      <w:r w:rsidRPr="00C278B7">
        <w:rPr>
          <w:rFonts w:ascii="Bookman Old Style" w:hAnsi="Bookman Old Style"/>
          <w:sz w:val="32"/>
          <w:u w:val="single"/>
        </w:rPr>
        <w:t>CHAPTER – 2</w:t>
      </w:r>
    </w:p>
    <w:p w:rsidR="00C278B7" w:rsidRPr="00C278B7" w:rsidRDefault="00C278B7" w:rsidP="00C278B7">
      <w:pPr>
        <w:pStyle w:val="Heading1"/>
        <w:spacing w:line="276" w:lineRule="auto"/>
        <w:ind w:left="0" w:firstLine="720"/>
        <w:jc w:val="center"/>
        <w:rPr>
          <w:rFonts w:ascii="Bookman Old Style" w:hAnsi="Bookman Old Style"/>
          <w:sz w:val="32"/>
          <w:u w:val="single"/>
        </w:rPr>
      </w:pPr>
      <w:r w:rsidRPr="00C278B7">
        <w:rPr>
          <w:rFonts w:ascii="Bookman Old Style" w:hAnsi="Bookman Old Style"/>
          <w:sz w:val="32"/>
          <w:u w:val="single"/>
        </w:rPr>
        <w:t>RATIONALE FOR EXPECTED REVENUE FROM CHARGES (ERC</w:t>
      </w:r>
      <w:bookmarkEnd w:id="0"/>
      <w:r w:rsidRPr="00C278B7">
        <w:rPr>
          <w:rFonts w:ascii="Bookman Old Style" w:hAnsi="Bookman Old Style"/>
          <w:sz w:val="32"/>
          <w:u w:val="single"/>
        </w:rPr>
        <w:t>)</w:t>
      </w:r>
    </w:p>
    <w:p w:rsidR="00C278B7" w:rsidRDefault="00C278B7" w:rsidP="00C278B7">
      <w:pPr>
        <w:pStyle w:val="Subtitle"/>
        <w:ind w:right="29"/>
        <w:rPr>
          <w:rFonts w:asciiTheme="majorHAnsi" w:hAnsiTheme="majorHAnsi"/>
          <w:color w:val="000000"/>
          <w:szCs w:val="22"/>
          <w:u w:val="none"/>
        </w:rPr>
      </w:pPr>
    </w:p>
    <w:p w:rsidR="00C278B7" w:rsidRPr="004D2948" w:rsidRDefault="00C278B7" w:rsidP="00C278B7">
      <w:pPr>
        <w:pStyle w:val="Subtitle"/>
        <w:ind w:right="29"/>
        <w:rPr>
          <w:rFonts w:asciiTheme="majorHAnsi" w:hAnsiTheme="majorHAnsi"/>
          <w:color w:val="000000"/>
          <w:szCs w:val="22"/>
          <w:u w:val="none"/>
        </w:rPr>
      </w:pPr>
    </w:p>
    <w:p w:rsidR="005917A4" w:rsidRPr="005917A4" w:rsidRDefault="005917A4" w:rsidP="007504A0">
      <w:pPr>
        <w:pStyle w:val="BodyText"/>
        <w:spacing w:before="138" w:line="360" w:lineRule="auto"/>
        <w:ind w:right="364"/>
        <w:jc w:val="both"/>
        <w:rPr>
          <w:rFonts w:ascii="Bookman Old Style" w:hAnsi="Bookman Old Style"/>
        </w:rPr>
      </w:pPr>
      <w:r w:rsidRPr="005917A4">
        <w:rPr>
          <w:rFonts w:ascii="Bookman Old Style" w:hAnsi="Bookman Old Style"/>
        </w:rPr>
        <w:t>The Commission has issued MYT regulations vide Notification No: D/01/6 dated 31st May 2006 and extract of the MYT regulations is reiterated below:</w:t>
      </w:r>
    </w:p>
    <w:p w:rsidR="005917A4" w:rsidRPr="005917A4" w:rsidRDefault="005917A4" w:rsidP="007504A0">
      <w:pPr>
        <w:pStyle w:val="Heading4"/>
        <w:tabs>
          <w:tab w:val="left" w:pos="1263"/>
        </w:tabs>
        <w:spacing w:before="228"/>
        <w:ind w:right="364"/>
        <w:rPr>
          <w:rFonts w:ascii="Bookman Old Style" w:hAnsi="Bookman Old Style"/>
          <w:b w:val="0"/>
          <w:i w:val="0"/>
          <w:iCs w:val="0"/>
          <w:color w:val="000000" w:themeColor="text1"/>
          <w:sz w:val="32"/>
          <w:szCs w:val="24"/>
          <w:u w:val="single"/>
        </w:rPr>
      </w:pPr>
      <w:r w:rsidRPr="005917A4">
        <w:rPr>
          <w:rFonts w:ascii="Bookman Old Style" w:hAnsi="Bookman Old Style"/>
          <w:i w:val="0"/>
          <w:color w:val="000000" w:themeColor="text1"/>
          <w:sz w:val="32"/>
          <w:szCs w:val="24"/>
          <w:u w:val="single"/>
        </w:rPr>
        <w:t>Annual Review of Performance:</w:t>
      </w:r>
    </w:p>
    <w:p w:rsidR="005917A4" w:rsidRPr="005917A4" w:rsidRDefault="005917A4" w:rsidP="007504A0">
      <w:pPr>
        <w:ind w:right="364"/>
      </w:pPr>
    </w:p>
    <w:p w:rsidR="005917A4" w:rsidRPr="005917A4" w:rsidRDefault="005917A4" w:rsidP="007504A0">
      <w:pPr>
        <w:pStyle w:val="BodyTextIndent3"/>
        <w:spacing w:line="360" w:lineRule="auto"/>
        <w:ind w:left="900" w:right="364" w:hanging="900"/>
        <w:jc w:val="both"/>
        <w:rPr>
          <w:rFonts w:ascii="Bookman Old Style" w:eastAsia="Arial" w:hAnsi="Bookman Old Style" w:cs="Arial"/>
          <w:sz w:val="22"/>
          <w:szCs w:val="22"/>
        </w:rPr>
      </w:pPr>
      <w:r w:rsidRPr="005917A4">
        <w:rPr>
          <w:rFonts w:ascii="Bookman Old Style" w:hAnsi="Bookman Old Style"/>
          <w:b/>
          <w:sz w:val="22"/>
          <w:szCs w:val="22"/>
        </w:rPr>
        <w:t>2.8.1</w:t>
      </w:r>
      <w:r w:rsidRPr="005917A4">
        <w:rPr>
          <w:rFonts w:asciiTheme="majorHAnsi" w:hAnsiTheme="majorHAnsi"/>
          <w:sz w:val="22"/>
          <w:szCs w:val="22"/>
        </w:rPr>
        <w:tab/>
      </w:r>
      <w:r w:rsidRPr="005917A4">
        <w:rPr>
          <w:rFonts w:ascii="Bookman Old Style" w:eastAsia="Arial" w:hAnsi="Bookman Old Style" w:cs="Arial"/>
          <w:sz w:val="22"/>
          <w:szCs w:val="22"/>
        </w:rPr>
        <w:t xml:space="preserve">The Distribution Licensee shall be subject to an annual performance review during the Control Period. The Licensee shall make an application for annual performance review not less than 120 days before the close of each financial year in the Control Period.  The Licensee shall provide such information as may be stipulated by the Commission from time to time to assess the reasons and extent of any variation in the performance from the approved forecast. </w:t>
      </w:r>
    </w:p>
    <w:p w:rsidR="005917A4" w:rsidRPr="005917A4" w:rsidRDefault="005917A4" w:rsidP="007504A0">
      <w:pPr>
        <w:pStyle w:val="BodyTextIndent3"/>
        <w:spacing w:line="360" w:lineRule="auto"/>
        <w:ind w:left="900" w:right="364" w:hanging="900"/>
        <w:jc w:val="both"/>
        <w:rPr>
          <w:rFonts w:ascii="Bookman Old Style" w:eastAsia="Arial" w:hAnsi="Bookman Old Style" w:cs="Arial"/>
          <w:sz w:val="22"/>
          <w:szCs w:val="22"/>
        </w:rPr>
      </w:pPr>
      <w:r w:rsidRPr="005917A4">
        <w:rPr>
          <w:rFonts w:ascii="Bookman Old Style" w:hAnsi="Bookman Old Style"/>
          <w:b/>
          <w:sz w:val="22"/>
          <w:szCs w:val="22"/>
        </w:rPr>
        <w:t>2.8.2</w:t>
      </w:r>
      <w:r w:rsidRPr="005917A4">
        <w:rPr>
          <w:rFonts w:asciiTheme="majorHAnsi" w:hAnsiTheme="majorHAnsi"/>
          <w:sz w:val="22"/>
          <w:szCs w:val="22"/>
        </w:rPr>
        <w:tab/>
      </w:r>
      <w:r w:rsidRPr="005917A4">
        <w:rPr>
          <w:rFonts w:ascii="Bookman Old Style" w:eastAsia="Arial" w:hAnsi="Bookman Old Style" w:cs="Arial"/>
          <w:sz w:val="22"/>
          <w:szCs w:val="22"/>
        </w:rPr>
        <w:t>The Distribution Licensee may, as a result of additional information not previously known or available to him at the time of forecast under the MYT framework for the Control Period, apply for modification of the ARR and ERC for the remainder of the control period, as part of annual performance review.</w:t>
      </w:r>
    </w:p>
    <w:p w:rsidR="005917A4" w:rsidRPr="005917A4" w:rsidRDefault="005917A4" w:rsidP="007504A0">
      <w:pPr>
        <w:pStyle w:val="BodyTextIndent3"/>
        <w:spacing w:line="360" w:lineRule="auto"/>
        <w:ind w:left="900" w:right="364" w:hanging="900"/>
        <w:jc w:val="both"/>
        <w:rPr>
          <w:rFonts w:asciiTheme="majorHAnsi" w:hAnsiTheme="majorHAnsi"/>
          <w:sz w:val="22"/>
          <w:szCs w:val="22"/>
        </w:rPr>
      </w:pPr>
      <w:r w:rsidRPr="005917A4">
        <w:rPr>
          <w:rFonts w:ascii="Bookman Old Style" w:hAnsi="Bookman Old Style"/>
          <w:b/>
          <w:sz w:val="22"/>
          <w:szCs w:val="22"/>
        </w:rPr>
        <w:t>2.8.3</w:t>
      </w:r>
      <w:r w:rsidRPr="005917A4">
        <w:rPr>
          <w:rFonts w:asciiTheme="majorHAnsi" w:hAnsiTheme="majorHAnsi"/>
          <w:b/>
          <w:sz w:val="22"/>
          <w:szCs w:val="22"/>
        </w:rPr>
        <w:t xml:space="preserve">    </w:t>
      </w:r>
      <w:r w:rsidRPr="005917A4">
        <w:rPr>
          <w:rFonts w:asciiTheme="majorHAnsi" w:hAnsiTheme="majorHAnsi"/>
          <w:b/>
          <w:sz w:val="22"/>
          <w:szCs w:val="22"/>
        </w:rPr>
        <w:tab/>
      </w:r>
      <w:r w:rsidRPr="005917A4">
        <w:rPr>
          <w:rFonts w:ascii="Bookman Old Style" w:eastAsia="Arial" w:hAnsi="Bookman Old Style" w:cs="Arial"/>
          <w:sz w:val="22"/>
          <w:szCs w:val="22"/>
        </w:rPr>
        <w:t xml:space="preserve">The Commission may, as a result of additional information not previously known or available to it at the time of approval of the forecast under the MYT framework for the Control Period, either </w:t>
      </w:r>
      <w:proofErr w:type="spellStart"/>
      <w:r w:rsidRPr="005917A4">
        <w:rPr>
          <w:rFonts w:ascii="Bookman Old Style" w:eastAsia="Arial" w:hAnsi="Bookman Old Style" w:cs="Arial"/>
          <w:sz w:val="22"/>
          <w:szCs w:val="22"/>
        </w:rPr>
        <w:t>suo</w:t>
      </w:r>
      <w:proofErr w:type="spellEnd"/>
      <w:r w:rsidRPr="005917A4">
        <w:rPr>
          <w:rFonts w:ascii="Bookman Old Style" w:eastAsia="Arial" w:hAnsi="Bookman Old Style" w:cs="Arial"/>
          <w:sz w:val="22"/>
          <w:szCs w:val="22"/>
        </w:rPr>
        <w:t xml:space="preserve"> </w:t>
      </w:r>
      <w:proofErr w:type="spellStart"/>
      <w:r w:rsidRPr="005917A4">
        <w:rPr>
          <w:rFonts w:ascii="Bookman Old Style" w:eastAsia="Arial" w:hAnsi="Bookman Old Style" w:cs="Arial"/>
          <w:sz w:val="22"/>
          <w:szCs w:val="22"/>
        </w:rPr>
        <w:t>motu</w:t>
      </w:r>
      <w:proofErr w:type="spellEnd"/>
      <w:r w:rsidRPr="005917A4">
        <w:rPr>
          <w:rFonts w:ascii="Bookman Old Style" w:eastAsia="Arial" w:hAnsi="Bookman Old Style" w:cs="Arial"/>
          <w:sz w:val="22"/>
          <w:szCs w:val="22"/>
        </w:rPr>
        <w:t xml:space="preserve"> or on application made by any interested party, modify the approved forecast of ARR and ERC for the remainder of the control period as part of the annual performance review</w:t>
      </w:r>
      <w:r w:rsidRPr="005917A4">
        <w:rPr>
          <w:rFonts w:asciiTheme="majorHAnsi" w:hAnsiTheme="majorHAnsi"/>
          <w:sz w:val="22"/>
          <w:szCs w:val="22"/>
        </w:rPr>
        <w:t xml:space="preserve">. </w:t>
      </w:r>
    </w:p>
    <w:p w:rsidR="005917A4" w:rsidRPr="005917A4" w:rsidRDefault="005917A4" w:rsidP="007504A0">
      <w:pPr>
        <w:pStyle w:val="BodyTextIndent3"/>
        <w:spacing w:line="360" w:lineRule="auto"/>
        <w:ind w:left="900" w:right="364" w:hanging="900"/>
        <w:jc w:val="both"/>
        <w:rPr>
          <w:rFonts w:ascii="Bookman Old Style" w:eastAsia="Arial" w:hAnsi="Bookman Old Style" w:cs="Arial"/>
          <w:sz w:val="22"/>
          <w:szCs w:val="22"/>
        </w:rPr>
      </w:pPr>
      <w:r w:rsidRPr="005917A4">
        <w:rPr>
          <w:rFonts w:ascii="Bookman Old Style" w:hAnsi="Bookman Old Style"/>
          <w:b/>
          <w:sz w:val="22"/>
          <w:szCs w:val="22"/>
        </w:rPr>
        <w:t>2.8.4</w:t>
      </w:r>
      <w:r w:rsidRPr="005917A4">
        <w:rPr>
          <w:rFonts w:asciiTheme="majorHAnsi" w:hAnsiTheme="majorHAnsi"/>
          <w:b/>
          <w:sz w:val="22"/>
          <w:szCs w:val="22"/>
        </w:rPr>
        <w:t xml:space="preserve">   </w:t>
      </w:r>
      <w:r w:rsidRPr="005917A4">
        <w:rPr>
          <w:rFonts w:asciiTheme="majorHAnsi" w:hAnsiTheme="majorHAnsi"/>
          <w:b/>
          <w:sz w:val="22"/>
          <w:szCs w:val="22"/>
        </w:rPr>
        <w:tab/>
      </w:r>
      <w:r w:rsidRPr="005917A4">
        <w:rPr>
          <w:rFonts w:ascii="Bookman Old Style" w:eastAsia="Arial" w:hAnsi="Bookman Old Style" w:cs="Arial"/>
          <w:sz w:val="22"/>
          <w:szCs w:val="22"/>
        </w:rPr>
        <w:t xml:space="preserve">The Commission shall review an application made under 2.8.2 and/or 2.8.3 above in the same manner as the original application for determination of ARR and ERC and upon completion of such review, either approve the proposed modification with such changes as it deems appropriate or reject the application for reasons to be recorded in writing. </w:t>
      </w:r>
    </w:p>
    <w:p w:rsidR="005917A4" w:rsidRPr="005917A4" w:rsidRDefault="005917A4" w:rsidP="007504A0">
      <w:pPr>
        <w:pStyle w:val="BodyTextIndent3"/>
        <w:spacing w:line="360" w:lineRule="auto"/>
        <w:ind w:left="900" w:right="364" w:hanging="900"/>
        <w:jc w:val="both"/>
        <w:rPr>
          <w:rFonts w:ascii="Bookman Old Style" w:eastAsia="Arial" w:hAnsi="Bookman Old Style" w:cs="Arial"/>
          <w:sz w:val="22"/>
          <w:szCs w:val="22"/>
        </w:rPr>
      </w:pPr>
      <w:r w:rsidRPr="005917A4">
        <w:rPr>
          <w:rFonts w:ascii="Bookman Old Style" w:hAnsi="Bookman Old Style"/>
          <w:b/>
          <w:sz w:val="22"/>
          <w:szCs w:val="22"/>
        </w:rPr>
        <w:t>2.8.5</w:t>
      </w:r>
      <w:r w:rsidRPr="005917A4">
        <w:rPr>
          <w:rFonts w:asciiTheme="majorHAnsi" w:hAnsiTheme="majorHAnsi"/>
          <w:b/>
          <w:sz w:val="22"/>
          <w:szCs w:val="22"/>
        </w:rPr>
        <w:t xml:space="preserve">   </w:t>
      </w:r>
      <w:r w:rsidRPr="005917A4">
        <w:rPr>
          <w:rFonts w:ascii="Bookman Old Style" w:eastAsia="Arial" w:hAnsi="Bookman Old Style" w:cs="Arial"/>
          <w:sz w:val="22"/>
          <w:szCs w:val="22"/>
        </w:rPr>
        <w:t xml:space="preserve">The scope of the annual performance review shall be a comparison of the performance of the Licensee with the approved forecast of ARR and ERC. </w:t>
      </w:r>
      <w:r w:rsidRPr="005917A4">
        <w:rPr>
          <w:rFonts w:ascii="Bookman Old Style" w:eastAsia="Arial" w:hAnsi="Bookman Old Style" w:cs="Arial"/>
          <w:sz w:val="22"/>
          <w:szCs w:val="22"/>
        </w:rPr>
        <w:lastRenderedPageBreak/>
        <w:t>Upon completion of annual performance review, the Commission shall pass an order recording:</w:t>
      </w:r>
    </w:p>
    <w:p w:rsidR="005917A4" w:rsidRPr="005917A4" w:rsidRDefault="005917A4" w:rsidP="00C41E93">
      <w:pPr>
        <w:pStyle w:val="BodyText"/>
        <w:numPr>
          <w:ilvl w:val="0"/>
          <w:numId w:val="3"/>
        </w:numPr>
        <w:spacing w:before="138" w:line="360" w:lineRule="auto"/>
        <w:ind w:left="851" w:right="364" w:hanging="567"/>
        <w:jc w:val="both"/>
        <w:rPr>
          <w:rFonts w:ascii="Bookman Old Style" w:hAnsi="Bookman Old Style"/>
        </w:rPr>
      </w:pPr>
      <w:r w:rsidRPr="005917A4">
        <w:rPr>
          <w:rFonts w:ascii="Bookman Old Style" w:hAnsi="Bookman Old Style"/>
        </w:rPr>
        <w:t xml:space="preserve">Any financial loss or gain on account of variation in power purchase cost either on account of change in hydro-thermal mix or other uncontrollable factors and the mechanism by which the licensee shall pass through such gains or losses. </w:t>
      </w:r>
    </w:p>
    <w:p w:rsidR="005917A4" w:rsidRPr="005917A4" w:rsidRDefault="005917A4" w:rsidP="00C41E93">
      <w:pPr>
        <w:pStyle w:val="BodyText"/>
        <w:numPr>
          <w:ilvl w:val="0"/>
          <w:numId w:val="3"/>
        </w:numPr>
        <w:spacing w:before="138" w:line="360" w:lineRule="auto"/>
        <w:ind w:left="851" w:right="364" w:hanging="567"/>
        <w:jc w:val="both"/>
        <w:rPr>
          <w:rFonts w:ascii="Bookman Old Style" w:hAnsi="Bookman Old Style"/>
        </w:rPr>
      </w:pPr>
      <w:r w:rsidRPr="005917A4">
        <w:rPr>
          <w:rFonts w:ascii="Bookman Old Style" w:hAnsi="Bookman Old Style"/>
        </w:rPr>
        <w:t>The approved aggregate gain or loss to the Licensee on account of other Uncontrollable factors and the mechanism by which the Licensee shall pass through such gains or losses.</w:t>
      </w:r>
    </w:p>
    <w:p w:rsidR="005917A4" w:rsidRPr="005917A4" w:rsidRDefault="005917A4" w:rsidP="00C41E93">
      <w:pPr>
        <w:pStyle w:val="BodyText"/>
        <w:numPr>
          <w:ilvl w:val="0"/>
          <w:numId w:val="3"/>
        </w:numPr>
        <w:spacing w:before="138" w:line="360" w:lineRule="auto"/>
        <w:ind w:left="851" w:right="364" w:hanging="567"/>
        <w:jc w:val="both"/>
        <w:rPr>
          <w:rFonts w:ascii="Bookman Old Style" w:hAnsi="Bookman Old Style"/>
        </w:rPr>
      </w:pPr>
      <w:r w:rsidRPr="005917A4">
        <w:rPr>
          <w:rFonts w:ascii="Bookman Old Style" w:hAnsi="Bookman Old Style"/>
        </w:rPr>
        <w:t>The approved aggregate gain or loss to the Licensee on account of Controllable factors and the mechanism to share such gains or losses.</w:t>
      </w:r>
    </w:p>
    <w:p w:rsidR="005917A4" w:rsidRPr="005917A4" w:rsidRDefault="005917A4" w:rsidP="00C41E93">
      <w:pPr>
        <w:pStyle w:val="BodyText"/>
        <w:numPr>
          <w:ilvl w:val="0"/>
          <w:numId w:val="3"/>
        </w:numPr>
        <w:spacing w:before="138" w:line="360" w:lineRule="auto"/>
        <w:ind w:left="851" w:right="364" w:hanging="567"/>
        <w:jc w:val="both"/>
        <w:rPr>
          <w:rFonts w:ascii="Bookman Old Style" w:hAnsi="Bookman Old Style"/>
        </w:rPr>
      </w:pPr>
      <w:r w:rsidRPr="005917A4">
        <w:rPr>
          <w:rFonts w:ascii="Bookman Old Style" w:hAnsi="Bookman Old Style"/>
        </w:rPr>
        <w:t xml:space="preserve">The approved modifications to the forecast for the remainder period of the Control period, if any. </w:t>
      </w:r>
    </w:p>
    <w:p w:rsidR="005917A4" w:rsidRPr="005917A4" w:rsidRDefault="005917A4" w:rsidP="007504A0">
      <w:pPr>
        <w:tabs>
          <w:tab w:val="left" w:pos="8550"/>
        </w:tabs>
        <w:ind w:right="364"/>
        <w:rPr>
          <w:sz w:val="2"/>
        </w:rPr>
      </w:pPr>
    </w:p>
    <w:p w:rsidR="005917A4" w:rsidRPr="005917A4" w:rsidRDefault="005917A4" w:rsidP="007504A0">
      <w:pPr>
        <w:pStyle w:val="BodyText"/>
        <w:spacing w:before="138" w:line="360" w:lineRule="auto"/>
        <w:ind w:right="364"/>
        <w:jc w:val="both"/>
        <w:rPr>
          <w:rFonts w:ascii="Bookman Old Style" w:hAnsi="Bookman Old Style"/>
        </w:rPr>
      </w:pPr>
      <w:r w:rsidRPr="005917A4">
        <w:rPr>
          <w:rFonts w:ascii="Bookman Old Style" w:hAnsi="Bookman Old Style"/>
        </w:rPr>
        <w:t>The Accounts shall be segregated between Distributi</w:t>
      </w:r>
      <w:r w:rsidR="00805FD9">
        <w:rPr>
          <w:rFonts w:ascii="Bookman Old Style" w:hAnsi="Bookman Old Style"/>
        </w:rPr>
        <w:t xml:space="preserve">on and Retail supply business. </w:t>
      </w:r>
      <w:r w:rsidRPr="005917A4">
        <w:rPr>
          <w:rFonts w:ascii="Bookman Old Style" w:hAnsi="Bookman Old Style"/>
        </w:rPr>
        <w:t xml:space="preserve">Till such time there is complete segregation, the ARR of the Distribution Licensee shall be apportioned between the Distribution Business and Retail Supply Business by appropriate methodology. </w:t>
      </w:r>
    </w:p>
    <w:p w:rsidR="005917A4" w:rsidRPr="00AA731F" w:rsidRDefault="005917A4" w:rsidP="007504A0">
      <w:pPr>
        <w:pStyle w:val="BodyText"/>
        <w:spacing w:before="138" w:line="360" w:lineRule="auto"/>
        <w:ind w:right="364"/>
        <w:jc w:val="both"/>
        <w:rPr>
          <w:rFonts w:ascii="Bookman Old Style" w:hAnsi="Bookman Old Style"/>
        </w:rPr>
      </w:pPr>
      <w:r w:rsidRPr="005917A4">
        <w:rPr>
          <w:rFonts w:ascii="Bookman Old Style" w:hAnsi="Bookman Old Style"/>
        </w:rPr>
        <w:t>Every Distribution Licensee shall file an application for approval of ARR and ERC under the MYT framework for the Control Period commencing from FY08. The filing for the Control period shall be made by the licensee within a period not less than 120 days before the commencement of the Control Period.  The filing shall be for the entire Control Period.  The filing shall be in the same form as specified in the KERC (Tariff) Regulations, with year wise details for each year of the Control Period, duly</w:t>
      </w:r>
      <w:r w:rsidRPr="00AA731F">
        <w:rPr>
          <w:rFonts w:ascii="Bookman Old Style" w:hAnsi="Bookman Old Style"/>
        </w:rPr>
        <w:t xml:space="preserve"> complying with the principles for determination of ARR as specified in these Regulations.</w:t>
      </w:r>
    </w:p>
    <w:p w:rsidR="005917A4" w:rsidRPr="00AA731F" w:rsidRDefault="005917A4" w:rsidP="007504A0">
      <w:pPr>
        <w:pStyle w:val="BodyText"/>
        <w:spacing w:before="138" w:line="360" w:lineRule="auto"/>
        <w:ind w:right="364"/>
        <w:jc w:val="both"/>
        <w:rPr>
          <w:rFonts w:ascii="Bookman Old Style" w:hAnsi="Bookman Old Style"/>
        </w:rPr>
      </w:pPr>
      <w:r w:rsidRPr="00AA731F">
        <w:rPr>
          <w:rFonts w:ascii="Bookman Old Style" w:hAnsi="Bookman Old Style"/>
        </w:rPr>
        <w:t>BESCOM is filing its modified ARR for FY-</w:t>
      </w:r>
      <w:r>
        <w:rPr>
          <w:rFonts w:ascii="Bookman Old Style" w:hAnsi="Bookman Old Style"/>
        </w:rPr>
        <w:t>2</w:t>
      </w:r>
      <w:r w:rsidR="00D14A12">
        <w:rPr>
          <w:rFonts w:ascii="Bookman Old Style" w:hAnsi="Bookman Old Style"/>
        </w:rPr>
        <w:t>2</w:t>
      </w:r>
      <w:r>
        <w:rPr>
          <w:rFonts w:ascii="Bookman Old Style" w:hAnsi="Bookman Old Style"/>
        </w:rPr>
        <w:t xml:space="preserve"> and tariff filing for FY-2</w:t>
      </w:r>
      <w:r w:rsidR="00D14A12">
        <w:rPr>
          <w:rFonts w:ascii="Bookman Old Style" w:hAnsi="Bookman Old Style"/>
        </w:rPr>
        <w:t>2</w:t>
      </w:r>
      <w:bookmarkStart w:id="1" w:name="_GoBack"/>
      <w:bookmarkEnd w:id="1"/>
      <w:r w:rsidRPr="00AA731F">
        <w:rPr>
          <w:rFonts w:ascii="Bookman Old Style" w:hAnsi="Bookman Old Style"/>
        </w:rPr>
        <w:t xml:space="preserve">. </w:t>
      </w:r>
    </w:p>
    <w:p w:rsidR="005917A4" w:rsidRPr="00AA731F" w:rsidRDefault="005917A4" w:rsidP="007504A0">
      <w:pPr>
        <w:pStyle w:val="BodyText"/>
        <w:spacing w:before="138" w:line="360" w:lineRule="auto"/>
        <w:ind w:right="364"/>
        <w:jc w:val="both"/>
        <w:rPr>
          <w:rFonts w:ascii="Bookman Old Style" w:hAnsi="Bookman Old Style"/>
        </w:rPr>
      </w:pPr>
      <w:r w:rsidRPr="00AA731F">
        <w:rPr>
          <w:rFonts w:ascii="Bookman Old Style" w:hAnsi="Bookman Old Style"/>
        </w:rPr>
        <w:t>The decimal part of the figures appearing in the tables may differ from the actual statements as the same is restricted to two decimal points in the formats.</w:t>
      </w:r>
    </w:p>
    <w:p w:rsidR="00C278B7" w:rsidRDefault="00C278B7" w:rsidP="005917A4">
      <w:pPr>
        <w:pStyle w:val="BodyText"/>
        <w:spacing w:before="138" w:line="360" w:lineRule="auto"/>
        <w:ind w:right="360" w:firstLine="720"/>
        <w:jc w:val="both"/>
      </w:pPr>
    </w:p>
    <w:sectPr w:rsidR="00C278B7" w:rsidSect="00580F14">
      <w:headerReference w:type="default" r:id="rId8"/>
      <w:footerReference w:type="default" r:id="rId9"/>
      <w:pgSz w:w="11906" w:h="16838"/>
      <w:pgMar w:top="2127" w:right="836" w:bottom="1440" w:left="1350"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0D" w:rsidRDefault="00E6500D" w:rsidP="00940D50">
      <w:pPr>
        <w:spacing w:after="0" w:line="240" w:lineRule="auto"/>
      </w:pPr>
      <w:r>
        <w:separator/>
      </w:r>
    </w:p>
  </w:endnote>
  <w:endnote w:type="continuationSeparator" w:id="0">
    <w:p w:rsidR="00E6500D" w:rsidRDefault="00E6500D" w:rsidP="0094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5" w:rsidRPr="006E3ACF" w:rsidRDefault="00DA36A9" w:rsidP="00B579F5">
    <w:pPr>
      <w:pStyle w:val="Footer"/>
      <w:pBdr>
        <w:top w:val="thinThickSmallGap" w:sz="24" w:space="1" w:color="823B0B" w:themeColor="accent2" w:themeShade="7F"/>
      </w:pBdr>
      <w:tabs>
        <w:tab w:val="clear" w:pos="9026"/>
      </w:tabs>
      <w:ind w:right="364"/>
      <w:rPr>
        <w:rFonts w:ascii="Bookman Old Style" w:eastAsiaTheme="majorEastAsia" w:hAnsi="Bookman Old Style" w:cstheme="majorBidi"/>
        <w:b/>
        <w:sz w:val="20"/>
      </w:rPr>
    </w:pPr>
    <w:r w:rsidRPr="006E3ACF">
      <w:rPr>
        <w:rFonts w:ascii="Bookman Old Style" w:eastAsia="Arial" w:hAnsi="Bookman Old Style" w:cs="Arial"/>
        <w:b/>
        <w:bCs/>
        <w:sz w:val="20"/>
        <w:szCs w:val="32"/>
        <w:lang w:val="en-US"/>
      </w:rPr>
      <w:t>RATIONALE FOR ERC</w:t>
    </w:r>
    <w:r w:rsidRPr="006E3ACF">
      <w:rPr>
        <w:rFonts w:ascii="Bookman Old Style" w:eastAsiaTheme="majorEastAsia" w:hAnsi="Bookman Old Style" w:cstheme="majorBidi"/>
        <w:b/>
        <w:sz w:val="20"/>
      </w:rPr>
      <w:t xml:space="preserve"> </w:t>
    </w:r>
    <w:r w:rsidR="00B579F5" w:rsidRPr="006E3ACF">
      <w:rPr>
        <w:rFonts w:ascii="Bookman Old Style" w:eastAsiaTheme="majorEastAsia" w:hAnsi="Bookman Old Style" w:cstheme="majorBidi"/>
        <w:b/>
        <w:sz w:val="20"/>
      </w:rPr>
      <w:ptab w:relativeTo="margin" w:alignment="right" w:leader="none"/>
    </w:r>
    <w:r w:rsidR="00B579F5" w:rsidRPr="006E3ACF">
      <w:rPr>
        <w:rFonts w:ascii="Bookman Old Style" w:eastAsiaTheme="majorEastAsia" w:hAnsi="Bookman Old Style" w:cstheme="majorBidi"/>
        <w:b/>
        <w:sz w:val="20"/>
      </w:rPr>
      <w:t xml:space="preserve">Page </w:t>
    </w:r>
    <w:r w:rsidR="00B579F5" w:rsidRPr="006E3ACF">
      <w:rPr>
        <w:rFonts w:ascii="Bookman Old Style" w:eastAsiaTheme="minorEastAsia" w:hAnsi="Bookman Old Style"/>
        <w:b/>
        <w:sz w:val="20"/>
      </w:rPr>
      <w:fldChar w:fldCharType="begin"/>
    </w:r>
    <w:r w:rsidR="00B579F5" w:rsidRPr="006E3ACF">
      <w:rPr>
        <w:rFonts w:ascii="Bookman Old Style" w:hAnsi="Bookman Old Style"/>
        <w:b/>
        <w:sz w:val="20"/>
      </w:rPr>
      <w:instrText xml:space="preserve"> PAGE   \* MERGEFORMAT </w:instrText>
    </w:r>
    <w:r w:rsidR="00B579F5" w:rsidRPr="006E3ACF">
      <w:rPr>
        <w:rFonts w:ascii="Bookman Old Style" w:eastAsiaTheme="minorEastAsia" w:hAnsi="Bookman Old Style"/>
        <w:b/>
        <w:sz w:val="20"/>
      </w:rPr>
      <w:fldChar w:fldCharType="separate"/>
    </w:r>
    <w:r w:rsidR="00D14A12" w:rsidRPr="00D14A12">
      <w:rPr>
        <w:rFonts w:ascii="Bookman Old Style" w:eastAsiaTheme="majorEastAsia" w:hAnsi="Bookman Old Style" w:cstheme="majorBidi"/>
        <w:b/>
        <w:noProof/>
        <w:sz w:val="20"/>
      </w:rPr>
      <w:t>9</w:t>
    </w:r>
    <w:r w:rsidR="00B579F5" w:rsidRPr="006E3ACF">
      <w:rPr>
        <w:rFonts w:ascii="Bookman Old Style" w:eastAsiaTheme="majorEastAsia" w:hAnsi="Bookman Old Style" w:cstheme="majorBidi"/>
        <w:b/>
        <w:noProof/>
        <w:sz w:val="20"/>
      </w:rPr>
      <w:fldChar w:fldCharType="end"/>
    </w:r>
  </w:p>
  <w:p w:rsidR="00A448F7" w:rsidRPr="00115E0E" w:rsidRDefault="00A448F7" w:rsidP="00115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0D" w:rsidRDefault="00E6500D" w:rsidP="00940D50">
      <w:pPr>
        <w:spacing w:after="0" w:line="240" w:lineRule="auto"/>
      </w:pPr>
      <w:r>
        <w:separator/>
      </w:r>
    </w:p>
  </w:footnote>
  <w:footnote w:type="continuationSeparator" w:id="0">
    <w:p w:rsidR="00E6500D" w:rsidRDefault="00E6500D" w:rsidP="0094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47" w:rsidRPr="00991FB4" w:rsidRDefault="00321D19" w:rsidP="00191A6C">
    <w:pPr>
      <w:pStyle w:val="Header"/>
      <w:pBdr>
        <w:bottom w:val="thickThinSmallGap" w:sz="24" w:space="0" w:color="823B0B" w:themeColor="accent2" w:themeShade="7F"/>
      </w:pBdr>
      <w:tabs>
        <w:tab w:val="clear" w:pos="4513"/>
        <w:tab w:val="clear" w:pos="9026"/>
      </w:tabs>
      <w:ind w:right="360"/>
      <w:rPr>
        <w:rFonts w:asciiTheme="majorHAnsi" w:eastAsiaTheme="majorEastAsia" w:hAnsiTheme="majorHAnsi" w:cstheme="majorBidi"/>
        <w:sz w:val="32"/>
        <w:szCs w:val="32"/>
      </w:rPr>
    </w:pPr>
    <w:r>
      <w:rPr>
        <w:noProof/>
        <w:lang w:eastAsia="en-IN"/>
      </w:rPr>
      <w:drawing>
        <wp:inline distT="0" distB="0" distL="0" distR="0" wp14:anchorId="073B41C5" wp14:editId="0756C81C">
          <wp:extent cx="598715" cy="521335"/>
          <wp:effectExtent l="0" t="0" r="0" b="0"/>
          <wp:docPr id="17" name="Picture 17" descr="Image result for bes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c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60" cy="530082"/>
                  </a:xfrm>
                  <a:prstGeom prst="rect">
                    <a:avLst/>
                  </a:prstGeom>
                  <a:noFill/>
                  <a:ln>
                    <a:noFill/>
                  </a:ln>
                </pic:spPr>
              </pic:pic>
            </a:graphicData>
          </a:graphic>
        </wp:inline>
      </w:drawing>
    </w:r>
    <w:r>
      <w:t xml:space="preserve"> </w:t>
    </w:r>
    <w:sdt>
      <w:sdtPr>
        <w:rPr>
          <w:rFonts w:ascii="Bookman Old Style" w:eastAsia="Arial" w:hAnsi="Bookman Old Style" w:cs="Arial"/>
          <w:b/>
          <w:bCs/>
          <w:sz w:val="20"/>
          <w:szCs w:val="32"/>
          <w:lang w:val="en-US"/>
        </w:rPr>
        <w:alias w:val="Title"/>
        <w:id w:val="1807635"/>
        <w:placeholder>
          <w:docPart w:val="4D34FA762485435E9401B550ADE3F64E"/>
        </w:placeholder>
        <w:dataBinding w:prefixMappings="xmlns:ns0='http://schemas.openxmlformats.org/package/2006/metadata/core-properties' xmlns:ns1='http://purl.org/dc/elements/1.1/'" w:xpath="/ns0:coreProperties[1]/ns1:title[1]" w:storeItemID="{6C3C8BC8-F283-45AE-878A-BAB7291924A1}"/>
        <w:text/>
      </w:sdtPr>
      <w:sdtEndPr/>
      <w:sdtContent>
        <w:r w:rsidR="00191A6C">
          <w:rPr>
            <w:rFonts w:ascii="Bookman Old Style" w:eastAsia="Arial" w:hAnsi="Bookman Old Style" w:cs="Arial"/>
            <w:b/>
            <w:bCs/>
            <w:sz w:val="20"/>
            <w:szCs w:val="32"/>
            <w:lang w:val="en-US"/>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61B6"/>
    <w:multiLevelType w:val="hybridMultilevel"/>
    <w:tmpl w:val="A6163EF2"/>
    <w:lvl w:ilvl="0" w:tplc="1F1A72F4">
      <w:start w:val="1"/>
      <w:numFmt w:val="lowerLetter"/>
      <w:lvlText w:val="%1)"/>
      <w:lvlJc w:val="left"/>
      <w:pPr>
        <w:ind w:left="117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64F2E4F"/>
    <w:multiLevelType w:val="hybridMultilevel"/>
    <w:tmpl w:val="97BEB8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79C133A"/>
    <w:multiLevelType w:val="hybridMultilevel"/>
    <w:tmpl w:val="8C3686AE"/>
    <w:lvl w:ilvl="0" w:tplc="ACE2CEDA">
      <w:start w:val="1"/>
      <w:numFmt w:val="lowerRoman"/>
      <w:lvlText w:val="(%1)"/>
      <w:lvlJc w:val="left"/>
      <w:pPr>
        <w:tabs>
          <w:tab w:val="num" w:pos="1440"/>
        </w:tabs>
        <w:ind w:left="1440" w:hanging="720"/>
      </w:pPr>
      <w:rPr>
        <w:rFonts w:hint="default"/>
      </w:rPr>
    </w:lvl>
    <w:lvl w:ilvl="1" w:tplc="42BEE65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50"/>
    <w:rsid w:val="000238A8"/>
    <w:rsid w:val="00040828"/>
    <w:rsid w:val="00043DF2"/>
    <w:rsid w:val="000445F0"/>
    <w:rsid w:val="00073D4B"/>
    <w:rsid w:val="000744BB"/>
    <w:rsid w:val="000922F3"/>
    <w:rsid w:val="000C5CE3"/>
    <w:rsid w:val="00100D98"/>
    <w:rsid w:val="001119A1"/>
    <w:rsid w:val="00115E0E"/>
    <w:rsid w:val="00143FFC"/>
    <w:rsid w:val="0016282E"/>
    <w:rsid w:val="0017121F"/>
    <w:rsid w:val="00187AE0"/>
    <w:rsid w:val="00191A6C"/>
    <w:rsid w:val="00192E18"/>
    <w:rsid w:val="0019689D"/>
    <w:rsid w:val="001C55E8"/>
    <w:rsid w:val="001D1AFD"/>
    <w:rsid w:val="00205119"/>
    <w:rsid w:val="002067DF"/>
    <w:rsid w:val="0024545C"/>
    <w:rsid w:val="00245D47"/>
    <w:rsid w:val="00261BBF"/>
    <w:rsid w:val="00277D71"/>
    <w:rsid w:val="002807A2"/>
    <w:rsid w:val="00281130"/>
    <w:rsid w:val="002A0C41"/>
    <w:rsid w:val="002D4710"/>
    <w:rsid w:val="002F5023"/>
    <w:rsid w:val="00321D19"/>
    <w:rsid w:val="00323F6C"/>
    <w:rsid w:val="003241E6"/>
    <w:rsid w:val="00332F51"/>
    <w:rsid w:val="003454E2"/>
    <w:rsid w:val="0036636A"/>
    <w:rsid w:val="003951CE"/>
    <w:rsid w:val="003A357B"/>
    <w:rsid w:val="003A49A3"/>
    <w:rsid w:val="003C57C5"/>
    <w:rsid w:val="003D3893"/>
    <w:rsid w:val="003D3ACD"/>
    <w:rsid w:val="003E1758"/>
    <w:rsid w:val="003E4D21"/>
    <w:rsid w:val="003F6B84"/>
    <w:rsid w:val="00412230"/>
    <w:rsid w:val="004123CB"/>
    <w:rsid w:val="0041322D"/>
    <w:rsid w:val="004143D6"/>
    <w:rsid w:val="00457F40"/>
    <w:rsid w:val="00460485"/>
    <w:rsid w:val="00474F84"/>
    <w:rsid w:val="00481FAB"/>
    <w:rsid w:val="004862CB"/>
    <w:rsid w:val="004A6156"/>
    <w:rsid w:val="004D37A3"/>
    <w:rsid w:val="004E4296"/>
    <w:rsid w:val="0050200F"/>
    <w:rsid w:val="00527826"/>
    <w:rsid w:val="00550F92"/>
    <w:rsid w:val="00570822"/>
    <w:rsid w:val="00580F14"/>
    <w:rsid w:val="005866AC"/>
    <w:rsid w:val="005917A4"/>
    <w:rsid w:val="005A0EA1"/>
    <w:rsid w:val="005A5E0D"/>
    <w:rsid w:val="005A70A3"/>
    <w:rsid w:val="005A7992"/>
    <w:rsid w:val="005B59AD"/>
    <w:rsid w:val="005C2626"/>
    <w:rsid w:val="005F6668"/>
    <w:rsid w:val="006141B3"/>
    <w:rsid w:val="00625343"/>
    <w:rsid w:val="00636731"/>
    <w:rsid w:val="00637614"/>
    <w:rsid w:val="0066167A"/>
    <w:rsid w:val="00661BAD"/>
    <w:rsid w:val="0066369C"/>
    <w:rsid w:val="00687853"/>
    <w:rsid w:val="006A18B7"/>
    <w:rsid w:val="006A4B61"/>
    <w:rsid w:val="006A600C"/>
    <w:rsid w:val="006B053C"/>
    <w:rsid w:val="006D5172"/>
    <w:rsid w:val="006E3ACF"/>
    <w:rsid w:val="006F4DA5"/>
    <w:rsid w:val="007068F9"/>
    <w:rsid w:val="007273E7"/>
    <w:rsid w:val="00736426"/>
    <w:rsid w:val="007504A0"/>
    <w:rsid w:val="007760FE"/>
    <w:rsid w:val="007816B2"/>
    <w:rsid w:val="00781735"/>
    <w:rsid w:val="007A0BBB"/>
    <w:rsid w:val="007B5B17"/>
    <w:rsid w:val="007C139B"/>
    <w:rsid w:val="007C6BA9"/>
    <w:rsid w:val="007D31C3"/>
    <w:rsid w:val="007D4C49"/>
    <w:rsid w:val="007E3CF1"/>
    <w:rsid w:val="008035B0"/>
    <w:rsid w:val="00805FD9"/>
    <w:rsid w:val="0081646D"/>
    <w:rsid w:val="00820AB7"/>
    <w:rsid w:val="0082596A"/>
    <w:rsid w:val="0083524F"/>
    <w:rsid w:val="00845C95"/>
    <w:rsid w:val="00847856"/>
    <w:rsid w:val="008B005F"/>
    <w:rsid w:val="008B70CF"/>
    <w:rsid w:val="008C1EF8"/>
    <w:rsid w:val="008C21BE"/>
    <w:rsid w:val="008C7272"/>
    <w:rsid w:val="008D387D"/>
    <w:rsid w:val="008F2552"/>
    <w:rsid w:val="00926786"/>
    <w:rsid w:val="00940D50"/>
    <w:rsid w:val="00940EA6"/>
    <w:rsid w:val="00947C07"/>
    <w:rsid w:val="009903F7"/>
    <w:rsid w:val="00991FB4"/>
    <w:rsid w:val="00991FB5"/>
    <w:rsid w:val="009A314A"/>
    <w:rsid w:val="009A4A2C"/>
    <w:rsid w:val="009B68A0"/>
    <w:rsid w:val="009D3D29"/>
    <w:rsid w:val="00A15DCE"/>
    <w:rsid w:val="00A448F7"/>
    <w:rsid w:val="00A46CB2"/>
    <w:rsid w:val="00A61830"/>
    <w:rsid w:val="00A85229"/>
    <w:rsid w:val="00A95EA4"/>
    <w:rsid w:val="00A969B8"/>
    <w:rsid w:val="00A96C70"/>
    <w:rsid w:val="00AA0C07"/>
    <w:rsid w:val="00AA709A"/>
    <w:rsid w:val="00AA709E"/>
    <w:rsid w:val="00AC3157"/>
    <w:rsid w:val="00AE5474"/>
    <w:rsid w:val="00AF15F1"/>
    <w:rsid w:val="00B1172A"/>
    <w:rsid w:val="00B21E78"/>
    <w:rsid w:val="00B24F7B"/>
    <w:rsid w:val="00B522CD"/>
    <w:rsid w:val="00B579F5"/>
    <w:rsid w:val="00B57B8B"/>
    <w:rsid w:val="00B6444C"/>
    <w:rsid w:val="00B91815"/>
    <w:rsid w:val="00BC07FE"/>
    <w:rsid w:val="00BC7C25"/>
    <w:rsid w:val="00C10B29"/>
    <w:rsid w:val="00C278B7"/>
    <w:rsid w:val="00C41E93"/>
    <w:rsid w:val="00C43269"/>
    <w:rsid w:val="00C476D6"/>
    <w:rsid w:val="00C5724A"/>
    <w:rsid w:val="00C8693A"/>
    <w:rsid w:val="00C929C1"/>
    <w:rsid w:val="00C94215"/>
    <w:rsid w:val="00CB7ADA"/>
    <w:rsid w:val="00CD3B7D"/>
    <w:rsid w:val="00D01603"/>
    <w:rsid w:val="00D06520"/>
    <w:rsid w:val="00D14A12"/>
    <w:rsid w:val="00D361A1"/>
    <w:rsid w:val="00D46AF4"/>
    <w:rsid w:val="00D53852"/>
    <w:rsid w:val="00D60E0F"/>
    <w:rsid w:val="00D638B9"/>
    <w:rsid w:val="00D71A08"/>
    <w:rsid w:val="00D778B1"/>
    <w:rsid w:val="00D849F0"/>
    <w:rsid w:val="00DA36A9"/>
    <w:rsid w:val="00DB3BD3"/>
    <w:rsid w:val="00DB3E9B"/>
    <w:rsid w:val="00DD0760"/>
    <w:rsid w:val="00DD5E81"/>
    <w:rsid w:val="00DE15F0"/>
    <w:rsid w:val="00E36387"/>
    <w:rsid w:val="00E414B9"/>
    <w:rsid w:val="00E6500D"/>
    <w:rsid w:val="00E71ECA"/>
    <w:rsid w:val="00E7453D"/>
    <w:rsid w:val="00E7591D"/>
    <w:rsid w:val="00E810D2"/>
    <w:rsid w:val="00E84351"/>
    <w:rsid w:val="00E85CCA"/>
    <w:rsid w:val="00E90B92"/>
    <w:rsid w:val="00E925AB"/>
    <w:rsid w:val="00E9722E"/>
    <w:rsid w:val="00EA6C60"/>
    <w:rsid w:val="00EB3DBD"/>
    <w:rsid w:val="00EB4171"/>
    <w:rsid w:val="00EB59E1"/>
    <w:rsid w:val="00EB68EF"/>
    <w:rsid w:val="00ED1CAA"/>
    <w:rsid w:val="00F07E1E"/>
    <w:rsid w:val="00F15B09"/>
    <w:rsid w:val="00F43036"/>
    <w:rsid w:val="00F47AB1"/>
    <w:rsid w:val="00F61DC7"/>
    <w:rsid w:val="00F66566"/>
    <w:rsid w:val="00F749AA"/>
    <w:rsid w:val="00F86E71"/>
    <w:rsid w:val="00F909DD"/>
    <w:rsid w:val="00F922EF"/>
    <w:rsid w:val="00FA06AD"/>
    <w:rsid w:val="00FA1B00"/>
    <w:rsid w:val="00FB100F"/>
    <w:rsid w:val="00FB3E26"/>
    <w:rsid w:val="00FE2394"/>
    <w:rsid w:val="00FE6907"/>
    <w:rsid w:val="00FF0F5B"/>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7"/>
  </w:style>
  <w:style w:type="paragraph" w:styleId="Heading1">
    <w:name w:val="heading 1"/>
    <w:basedOn w:val="Normal"/>
    <w:link w:val="Heading1Char"/>
    <w:uiPriority w:val="1"/>
    <w:qFormat/>
    <w:rsid w:val="00940D50"/>
    <w:pPr>
      <w:widowControl w:val="0"/>
      <w:spacing w:before="49" w:after="0" w:line="240" w:lineRule="auto"/>
      <w:ind w:left="2940" w:hanging="444"/>
      <w:outlineLvl w:val="0"/>
    </w:pPr>
    <w:rPr>
      <w:rFonts w:ascii="Arial" w:eastAsia="Arial" w:hAnsi="Arial" w:cs="Arial"/>
      <w:b/>
      <w:bCs/>
      <w:sz w:val="40"/>
      <w:szCs w:val="40"/>
      <w:lang w:val="en-US"/>
    </w:rPr>
  </w:style>
  <w:style w:type="paragraph" w:styleId="Heading2">
    <w:name w:val="heading 2"/>
    <w:basedOn w:val="Normal"/>
    <w:next w:val="Normal"/>
    <w:link w:val="Heading2Char"/>
    <w:uiPriority w:val="9"/>
    <w:semiHidden/>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917A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D50"/>
    <w:rPr>
      <w:rFonts w:ascii="Arial" w:eastAsia="Arial" w:hAnsi="Arial" w:cs="Arial"/>
      <w:b/>
      <w:bCs/>
      <w:sz w:val="40"/>
      <w:szCs w:val="40"/>
      <w:lang w:val="en-US"/>
    </w:rPr>
  </w:style>
  <w:style w:type="paragraph" w:styleId="BodyText">
    <w:name w:val="Body Text"/>
    <w:basedOn w:val="Normal"/>
    <w:link w:val="BodyTextChar"/>
    <w:uiPriority w:val="1"/>
    <w:qFormat/>
    <w:rsid w:val="00940D50"/>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semiHidden/>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278B7"/>
    <w:rPr>
      <w:rFonts w:asciiTheme="majorHAnsi" w:eastAsiaTheme="majorEastAsia" w:hAnsiTheme="majorHAnsi" w:cstheme="majorBidi"/>
      <w:color w:val="2E74B5" w:themeColor="accent1" w:themeShade="BF"/>
      <w:sz w:val="26"/>
      <w:szCs w:val="26"/>
    </w:rPr>
  </w:style>
  <w:style w:type="paragraph" w:styleId="Subtitle">
    <w:name w:val="Subtitle"/>
    <w:basedOn w:val="Normal"/>
    <w:link w:val="SubtitleChar"/>
    <w:qFormat/>
    <w:rsid w:val="00C278B7"/>
    <w:pPr>
      <w:spacing w:after="0" w:line="240" w:lineRule="auto"/>
      <w:ind w:right="360"/>
      <w:jc w:val="center"/>
    </w:pPr>
    <w:rPr>
      <w:rFonts w:ascii="Century Gothic" w:eastAsia="Times New Roman" w:hAnsi="Century Gothic" w:cs="Times New Roman"/>
      <w:b/>
      <w:bCs/>
      <w:szCs w:val="24"/>
      <w:u w:val="single"/>
      <w:lang w:val="en-US"/>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character" w:customStyle="1" w:styleId="Heading4Char">
    <w:name w:val="Heading 4 Char"/>
    <w:basedOn w:val="DefaultParagraphFont"/>
    <w:link w:val="Heading4"/>
    <w:uiPriority w:val="9"/>
    <w:semiHidden/>
    <w:rsid w:val="005917A4"/>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
    <w:uiPriority w:val="99"/>
    <w:semiHidden/>
    <w:unhideWhenUsed/>
    <w:rsid w:val="005917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17A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B7"/>
  </w:style>
  <w:style w:type="paragraph" w:styleId="Heading1">
    <w:name w:val="heading 1"/>
    <w:basedOn w:val="Normal"/>
    <w:link w:val="Heading1Char"/>
    <w:uiPriority w:val="1"/>
    <w:qFormat/>
    <w:rsid w:val="00940D50"/>
    <w:pPr>
      <w:widowControl w:val="0"/>
      <w:spacing w:before="49" w:after="0" w:line="240" w:lineRule="auto"/>
      <w:ind w:left="2940" w:hanging="444"/>
      <w:outlineLvl w:val="0"/>
    </w:pPr>
    <w:rPr>
      <w:rFonts w:ascii="Arial" w:eastAsia="Arial" w:hAnsi="Arial" w:cs="Arial"/>
      <w:b/>
      <w:bCs/>
      <w:sz w:val="40"/>
      <w:szCs w:val="40"/>
      <w:lang w:val="en-US"/>
    </w:rPr>
  </w:style>
  <w:style w:type="paragraph" w:styleId="Heading2">
    <w:name w:val="heading 2"/>
    <w:basedOn w:val="Normal"/>
    <w:next w:val="Normal"/>
    <w:link w:val="Heading2Char"/>
    <w:uiPriority w:val="9"/>
    <w:semiHidden/>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917A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D50"/>
    <w:rPr>
      <w:rFonts w:ascii="Arial" w:eastAsia="Arial" w:hAnsi="Arial" w:cs="Arial"/>
      <w:b/>
      <w:bCs/>
      <w:sz w:val="40"/>
      <w:szCs w:val="40"/>
      <w:lang w:val="en-US"/>
    </w:rPr>
  </w:style>
  <w:style w:type="paragraph" w:styleId="BodyText">
    <w:name w:val="Body Text"/>
    <w:basedOn w:val="Normal"/>
    <w:link w:val="BodyTextChar"/>
    <w:uiPriority w:val="1"/>
    <w:qFormat/>
    <w:rsid w:val="00940D50"/>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semiHidden/>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278B7"/>
    <w:rPr>
      <w:rFonts w:asciiTheme="majorHAnsi" w:eastAsiaTheme="majorEastAsia" w:hAnsiTheme="majorHAnsi" w:cstheme="majorBidi"/>
      <w:color w:val="2E74B5" w:themeColor="accent1" w:themeShade="BF"/>
      <w:sz w:val="26"/>
      <w:szCs w:val="26"/>
    </w:rPr>
  </w:style>
  <w:style w:type="paragraph" w:styleId="Subtitle">
    <w:name w:val="Subtitle"/>
    <w:basedOn w:val="Normal"/>
    <w:link w:val="SubtitleChar"/>
    <w:qFormat/>
    <w:rsid w:val="00C278B7"/>
    <w:pPr>
      <w:spacing w:after="0" w:line="240" w:lineRule="auto"/>
      <w:ind w:right="360"/>
      <w:jc w:val="center"/>
    </w:pPr>
    <w:rPr>
      <w:rFonts w:ascii="Century Gothic" w:eastAsia="Times New Roman" w:hAnsi="Century Gothic" w:cs="Times New Roman"/>
      <w:b/>
      <w:bCs/>
      <w:szCs w:val="24"/>
      <w:u w:val="single"/>
      <w:lang w:val="en-US"/>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character" w:customStyle="1" w:styleId="Heading4Char">
    <w:name w:val="Heading 4 Char"/>
    <w:basedOn w:val="DefaultParagraphFont"/>
    <w:link w:val="Heading4"/>
    <w:uiPriority w:val="9"/>
    <w:semiHidden/>
    <w:rsid w:val="005917A4"/>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
    <w:uiPriority w:val="99"/>
    <w:semiHidden/>
    <w:unhideWhenUsed/>
    <w:rsid w:val="005917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17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510">
      <w:bodyDiv w:val="1"/>
      <w:marLeft w:val="0"/>
      <w:marRight w:val="0"/>
      <w:marTop w:val="0"/>
      <w:marBottom w:val="0"/>
      <w:divBdr>
        <w:top w:val="none" w:sz="0" w:space="0" w:color="auto"/>
        <w:left w:val="none" w:sz="0" w:space="0" w:color="auto"/>
        <w:bottom w:val="none" w:sz="0" w:space="0" w:color="auto"/>
        <w:right w:val="none" w:sz="0" w:space="0" w:color="auto"/>
      </w:divBdr>
    </w:div>
    <w:div w:id="30499666">
      <w:bodyDiv w:val="1"/>
      <w:marLeft w:val="0"/>
      <w:marRight w:val="0"/>
      <w:marTop w:val="0"/>
      <w:marBottom w:val="0"/>
      <w:divBdr>
        <w:top w:val="none" w:sz="0" w:space="0" w:color="auto"/>
        <w:left w:val="none" w:sz="0" w:space="0" w:color="auto"/>
        <w:bottom w:val="none" w:sz="0" w:space="0" w:color="auto"/>
        <w:right w:val="none" w:sz="0" w:space="0" w:color="auto"/>
      </w:divBdr>
    </w:div>
    <w:div w:id="275407350">
      <w:bodyDiv w:val="1"/>
      <w:marLeft w:val="0"/>
      <w:marRight w:val="0"/>
      <w:marTop w:val="0"/>
      <w:marBottom w:val="0"/>
      <w:divBdr>
        <w:top w:val="none" w:sz="0" w:space="0" w:color="auto"/>
        <w:left w:val="none" w:sz="0" w:space="0" w:color="auto"/>
        <w:bottom w:val="none" w:sz="0" w:space="0" w:color="auto"/>
        <w:right w:val="none" w:sz="0" w:space="0" w:color="auto"/>
      </w:divBdr>
    </w:div>
    <w:div w:id="316692092">
      <w:bodyDiv w:val="1"/>
      <w:marLeft w:val="0"/>
      <w:marRight w:val="0"/>
      <w:marTop w:val="0"/>
      <w:marBottom w:val="0"/>
      <w:divBdr>
        <w:top w:val="none" w:sz="0" w:space="0" w:color="auto"/>
        <w:left w:val="none" w:sz="0" w:space="0" w:color="auto"/>
        <w:bottom w:val="none" w:sz="0" w:space="0" w:color="auto"/>
        <w:right w:val="none" w:sz="0" w:space="0" w:color="auto"/>
      </w:divBdr>
    </w:div>
    <w:div w:id="490491250">
      <w:bodyDiv w:val="1"/>
      <w:marLeft w:val="0"/>
      <w:marRight w:val="0"/>
      <w:marTop w:val="0"/>
      <w:marBottom w:val="0"/>
      <w:divBdr>
        <w:top w:val="none" w:sz="0" w:space="0" w:color="auto"/>
        <w:left w:val="none" w:sz="0" w:space="0" w:color="auto"/>
        <w:bottom w:val="none" w:sz="0" w:space="0" w:color="auto"/>
        <w:right w:val="none" w:sz="0" w:space="0" w:color="auto"/>
      </w:divBdr>
    </w:div>
    <w:div w:id="509099887">
      <w:bodyDiv w:val="1"/>
      <w:marLeft w:val="0"/>
      <w:marRight w:val="0"/>
      <w:marTop w:val="0"/>
      <w:marBottom w:val="0"/>
      <w:divBdr>
        <w:top w:val="none" w:sz="0" w:space="0" w:color="auto"/>
        <w:left w:val="none" w:sz="0" w:space="0" w:color="auto"/>
        <w:bottom w:val="none" w:sz="0" w:space="0" w:color="auto"/>
        <w:right w:val="none" w:sz="0" w:space="0" w:color="auto"/>
      </w:divBdr>
    </w:div>
    <w:div w:id="541406938">
      <w:bodyDiv w:val="1"/>
      <w:marLeft w:val="0"/>
      <w:marRight w:val="0"/>
      <w:marTop w:val="0"/>
      <w:marBottom w:val="0"/>
      <w:divBdr>
        <w:top w:val="none" w:sz="0" w:space="0" w:color="auto"/>
        <w:left w:val="none" w:sz="0" w:space="0" w:color="auto"/>
        <w:bottom w:val="none" w:sz="0" w:space="0" w:color="auto"/>
        <w:right w:val="none" w:sz="0" w:space="0" w:color="auto"/>
      </w:divBdr>
    </w:div>
    <w:div w:id="553585736">
      <w:bodyDiv w:val="1"/>
      <w:marLeft w:val="0"/>
      <w:marRight w:val="0"/>
      <w:marTop w:val="0"/>
      <w:marBottom w:val="0"/>
      <w:divBdr>
        <w:top w:val="none" w:sz="0" w:space="0" w:color="auto"/>
        <w:left w:val="none" w:sz="0" w:space="0" w:color="auto"/>
        <w:bottom w:val="none" w:sz="0" w:space="0" w:color="auto"/>
        <w:right w:val="none" w:sz="0" w:space="0" w:color="auto"/>
      </w:divBdr>
    </w:div>
    <w:div w:id="610479241">
      <w:bodyDiv w:val="1"/>
      <w:marLeft w:val="0"/>
      <w:marRight w:val="0"/>
      <w:marTop w:val="0"/>
      <w:marBottom w:val="0"/>
      <w:divBdr>
        <w:top w:val="none" w:sz="0" w:space="0" w:color="auto"/>
        <w:left w:val="none" w:sz="0" w:space="0" w:color="auto"/>
        <w:bottom w:val="none" w:sz="0" w:space="0" w:color="auto"/>
        <w:right w:val="none" w:sz="0" w:space="0" w:color="auto"/>
      </w:divBdr>
    </w:div>
    <w:div w:id="772480627">
      <w:bodyDiv w:val="1"/>
      <w:marLeft w:val="0"/>
      <w:marRight w:val="0"/>
      <w:marTop w:val="0"/>
      <w:marBottom w:val="0"/>
      <w:divBdr>
        <w:top w:val="none" w:sz="0" w:space="0" w:color="auto"/>
        <w:left w:val="none" w:sz="0" w:space="0" w:color="auto"/>
        <w:bottom w:val="none" w:sz="0" w:space="0" w:color="auto"/>
        <w:right w:val="none" w:sz="0" w:space="0" w:color="auto"/>
      </w:divBdr>
    </w:div>
    <w:div w:id="1141538734">
      <w:bodyDiv w:val="1"/>
      <w:marLeft w:val="0"/>
      <w:marRight w:val="0"/>
      <w:marTop w:val="0"/>
      <w:marBottom w:val="0"/>
      <w:divBdr>
        <w:top w:val="none" w:sz="0" w:space="0" w:color="auto"/>
        <w:left w:val="none" w:sz="0" w:space="0" w:color="auto"/>
        <w:bottom w:val="none" w:sz="0" w:space="0" w:color="auto"/>
        <w:right w:val="none" w:sz="0" w:space="0" w:color="auto"/>
      </w:divBdr>
    </w:div>
    <w:div w:id="1310206233">
      <w:bodyDiv w:val="1"/>
      <w:marLeft w:val="0"/>
      <w:marRight w:val="0"/>
      <w:marTop w:val="0"/>
      <w:marBottom w:val="0"/>
      <w:divBdr>
        <w:top w:val="none" w:sz="0" w:space="0" w:color="auto"/>
        <w:left w:val="none" w:sz="0" w:space="0" w:color="auto"/>
        <w:bottom w:val="none" w:sz="0" w:space="0" w:color="auto"/>
        <w:right w:val="none" w:sz="0" w:space="0" w:color="auto"/>
      </w:divBdr>
    </w:div>
    <w:div w:id="1373505967">
      <w:bodyDiv w:val="1"/>
      <w:marLeft w:val="0"/>
      <w:marRight w:val="0"/>
      <w:marTop w:val="0"/>
      <w:marBottom w:val="0"/>
      <w:divBdr>
        <w:top w:val="none" w:sz="0" w:space="0" w:color="auto"/>
        <w:left w:val="none" w:sz="0" w:space="0" w:color="auto"/>
        <w:bottom w:val="none" w:sz="0" w:space="0" w:color="auto"/>
        <w:right w:val="none" w:sz="0" w:space="0" w:color="auto"/>
      </w:divBdr>
    </w:div>
    <w:div w:id="1448886049">
      <w:bodyDiv w:val="1"/>
      <w:marLeft w:val="0"/>
      <w:marRight w:val="0"/>
      <w:marTop w:val="0"/>
      <w:marBottom w:val="0"/>
      <w:divBdr>
        <w:top w:val="none" w:sz="0" w:space="0" w:color="auto"/>
        <w:left w:val="none" w:sz="0" w:space="0" w:color="auto"/>
        <w:bottom w:val="none" w:sz="0" w:space="0" w:color="auto"/>
        <w:right w:val="none" w:sz="0" w:space="0" w:color="auto"/>
      </w:divBdr>
    </w:div>
    <w:div w:id="1552959327">
      <w:bodyDiv w:val="1"/>
      <w:marLeft w:val="0"/>
      <w:marRight w:val="0"/>
      <w:marTop w:val="0"/>
      <w:marBottom w:val="0"/>
      <w:divBdr>
        <w:top w:val="none" w:sz="0" w:space="0" w:color="auto"/>
        <w:left w:val="none" w:sz="0" w:space="0" w:color="auto"/>
        <w:bottom w:val="none" w:sz="0" w:space="0" w:color="auto"/>
        <w:right w:val="none" w:sz="0" w:space="0" w:color="auto"/>
      </w:divBdr>
    </w:div>
    <w:div w:id="1570193020">
      <w:bodyDiv w:val="1"/>
      <w:marLeft w:val="0"/>
      <w:marRight w:val="0"/>
      <w:marTop w:val="0"/>
      <w:marBottom w:val="0"/>
      <w:divBdr>
        <w:top w:val="none" w:sz="0" w:space="0" w:color="auto"/>
        <w:left w:val="none" w:sz="0" w:space="0" w:color="auto"/>
        <w:bottom w:val="none" w:sz="0" w:space="0" w:color="auto"/>
        <w:right w:val="none" w:sz="0" w:space="0" w:color="auto"/>
      </w:divBdr>
    </w:div>
    <w:div w:id="1730954229">
      <w:bodyDiv w:val="1"/>
      <w:marLeft w:val="0"/>
      <w:marRight w:val="0"/>
      <w:marTop w:val="0"/>
      <w:marBottom w:val="0"/>
      <w:divBdr>
        <w:top w:val="none" w:sz="0" w:space="0" w:color="auto"/>
        <w:left w:val="none" w:sz="0" w:space="0" w:color="auto"/>
        <w:bottom w:val="none" w:sz="0" w:space="0" w:color="auto"/>
        <w:right w:val="none" w:sz="0" w:space="0" w:color="auto"/>
      </w:divBdr>
    </w:div>
    <w:div w:id="1789936102">
      <w:bodyDiv w:val="1"/>
      <w:marLeft w:val="0"/>
      <w:marRight w:val="0"/>
      <w:marTop w:val="0"/>
      <w:marBottom w:val="0"/>
      <w:divBdr>
        <w:top w:val="none" w:sz="0" w:space="0" w:color="auto"/>
        <w:left w:val="none" w:sz="0" w:space="0" w:color="auto"/>
        <w:bottom w:val="none" w:sz="0" w:space="0" w:color="auto"/>
        <w:right w:val="none" w:sz="0" w:space="0" w:color="auto"/>
      </w:divBdr>
    </w:div>
    <w:div w:id="1867907802">
      <w:bodyDiv w:val="1"/>
      <w:marLeft w:val="0"/>
      <w:marRight w:val="0"/>
      <w:marTop w:val="0"/>
      <w:marBottom w:val="0"/>
      <w:divBdr>
        <w:top w:val="none" w:sz="0" w:space="0" w:color="auto"/>
        <w:left w:val="none" w:sz="0" w:space="0" w:color="auto"/>
        <w:bottom w:val="none" w:sz="0" w:space="0" w:color="auto"/>
        <w:right w:val="none" w:sz="0" w:space="0" w:color="auto"/>
      </w:divBdr>
    </w:div>
    <w:div w:id="19094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34FA762485435E9401B550ADE3F64E"/>
        <w:category>
          <w:name w:val="General"/>
          <w:gallery w:val="placeholder"/>
        </w:category>
        <w:types>
          <w:type w:val="bbPlcHdr"/>
        </w:types>
        <w:behaviors>
          <w:behavior w:val="content"/>
        </w:behaviors>
        <w:guid w:val="{8D0C5525-C699-4101-A50F-8FF5F3E502B4}"/>
      </w:docPartPr>
      <w:docPartBody>
        <w:p w:rsidR="000E1556" w:rsidRDefault="006F5917" w:rsidP="006F5917">
          <w:pPr>
            <w:pStyle w:val="4D34FA762485435E9401B550ADE3F6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7"/>
    <w:rsid w:val="000A5DC4"/>
    <w:rsid w:val="000A706B"/>
    <w:rsid w:val="000E1556"/>
    <w:rsid w:val="001949C5"/>
    <w:rsid w:val="00373F9A"/>
    <w:rsid w:val="00483683"/>
    <w:rsid w:val="00695136"/>
    <w:rsid w:val="006F5917"/>
    <w:rsid w:val="0087135E"/>
    <w:rsid w:val="00A478CD"/>
    <w:rsid w:val="00A537A3"/>
    <w:rsid w:val="00B1602E"/>
    <w:rsid w:val="00B30587"/>
    <w:rsid w:val="00B40265"/>
    <w:rsid w:val="00C34621"/>
    <w:rsid w:val="00C60600"/>
    <w:rsid w:val="00C660ED"/>
    <w:rsid w:val="00D2448E"/>
    <w:rsid w:val="00E02204"/>
    <w:rsid w:val="00F65F2A"/>
    <w:rsid w:val="00F66FE9"/>
    <w:rsid w:val="00F9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40D31AB5C4D83860A5AA37C41EE40">
    <w:name w:val="CE240D31AB5C4D83860A5AA37C41EE40"/>
    <w:rsid w:val="006F5917"/>
  </w:style>
  <w:style w:type="paragraph" w:customStyle="1" w:styleId="80D746CF7B574892A88AF78A0C04485C">
    <w:name w:val="80D746CF7B574892A88AF78A0C04485C"/>
    <w:rsid w:val="006F5917"/>
  </w:style>
  <w:style w:type="paragraph" w:customStyle="1" w:styleId="7AD6FE00B98A4778B29B19A2A7BEABD5">
    <w:name w:val="7AD6FE00B98A4778B29B19A2A7BEABD5"/>
    <w:rsid w:val="006F5917"/>
  </w:style>
  <w:style w:type="paragraph" w:customStyle="1" w:styleId="6AE300F40DE84CEF883C0FD302992D81">
    <w:name w:val="6AE300F40DE84CEF883C0FD302992D81"/>
    <w:rsid w:val="006F5917"/>
  </w:style>
  <w:style w:type="paragraph" w:customStyle="1" w:styleId="4D34FA762485435E9401B550ADE3F64E">
    <w:name w:val="4D34FA762485435E9401B550ADE3F64E"/>
    <w:rsid w:val="006F5917"/>
  </w:style>
  <w:style w:type="paragraph" w:customStyle="1" w:styleId="B8EC8073530D4757A3D20480852F8FFE">
    <w:name w:val="B8EC8073530D4757A3D20480852F8FFE"/>
    <w:rsid w:val="00483683"/>
    <w:pPr>
      <w:spacing w:after="200" w:line="276" w:lineRule="auto"/>
    </w:pPr>
    <w:rPr>
      <w:lang w:val="en-IN" w:eastAsia="en-IN"/>
    </w:rPr>
  </w:style>
  <w:style w:type="paragraph" w:customStyle="1" w:styleId="3043D3F924F349A392C48414FDC96CB7">
    <w:name w:val="3043D3F924F349A392C48414FDC96CB7"/>
    <w:rsid w:val="00483683"/>
    <w:pPr>
      <w:spacing w:after="200" w:line="276" w:lineRule="auto"/>
    </w:pPr>
    <w:rPr>
      <w:lang w:val="en-IN" w:eastAsia="en-IN"/>
    </w:rPr>
  </w:style>
  <w:style w:type="paragraph" w:customStyle="1" w:styleId="DCBDF508DC5649BDA5C74D670A3530A6">
    <w:name w:val="DCBDF508DC5649BDA5C74D670A3530A6"/>
    <w:rsid w:val="00483683"/>
    <w:pPr>
      <w:spacing w:after="200" w:line="276" w:lineRule="auto"/>
    </w:pPr>
    <w:rPr>
      <w:lang w:val="en-IN" w:eastAsia="en-IN"/>
    </w:rPr>
  </w:style>
  <w:style w:type="paragraph" w:customStyle="1" w:styleId="D244194D1A494124A005A3ED05C2AF14">
    <w:name w:val="D244194D1A494124A005A3ED05C2AF14"/>
    <w:rsid w:val="00483683"/>
    <w:pPr>
      <w:spacing w:after="200" w:line="276" w:lineRule="auto"/>
    </w:pPr>
    <w:rPr>
      <w:lang w:val="en-IN" w:eastAsia="en-IN"/>
    </w:rPr>
  </w:style>
  <w:style w:type="paragraph" w:customStyle="1" w:styleId="9899E734A1D84BA7870935D1404775C5">
    <w:name w:val="9899E734A1D84BA7870935D1404775C5"/>
    <w:rsid w:val="00B30587"/>
    <w:pPr>
      <w:spacing w:after="200" w:line="276" w:lineRule="auto"/>
    </w:pPr>
    <w:rPr>
      <w:lang w:val="en-IN" w:eastAsia="en-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40D31AB5C4D83860A5AA37C41EE40">
    <w:name w:val="CE240D31AB5C4D83860A5AA37C41EE40"/>
    <w:rsid w:val="006F5917"/>
  </w:style>
  <w:style w:type="paragraph" w:customStyle="1" w:styleId="80D746CF7B574892A88AF78A0C04485C">
    <w:name w:val="80D746CF7B574892A88AF78A0C04485C"/>
    <w:rsid w:val="006F5917"/>
  </w:style>
  <w:style w:type="paragraph" w:customStyle="1" w:styleId="7AD6FE00B98A4778B29B19A2A7BEABD5">
    <w:name w:val="7AD6FE00B98A4778B29B19A2A7BEABD5"/>
    <w:rsid w:val="006F5917"/>
  </w:style>
  <w:style w:type="paragraph" w:customStyle="1" w:styleId="6AE300F40DE84CEF883C0FD302992D81">
    <w:name w:val="6AE300F40DE84CEF883C0FD302992D81"/>
    <w:rsid w:val="006F5917"/>
  </w:style>
  <w:style w:type="paragraph" w:customStyle="1" w:styleId="4D34FA762485435E9401B550ADE3F64E">
    <w:name w:val="4D34FA762485435E9401B550ADE3F64E"/>
    <w:rsid w:val="006F5917"/>
  </w:style>
  <w:style w:type="paragraph" w:customStyle="1" w:styleId="B8EC8073530D4757A3D20480852F8FFE">
    <w:name w:val="B8EC8073530D4757A3D20480852F8FFE"/>
    <w:rsid w:val="00483683"/>
    <w:pPr>
      <w:spacing w:after="200" w:line="276" w:lineRule="auto"/>
    </w:pPr>
    <w:rPr>
      <w:lang w:val="en-IN" w:eastAsia="en-IN"/>
    </w:rPr>
  </w:style>
  <w:style w:type="paragraph" w:customStyle="1" w:styleId="3043D3F924F349A392C48414FDC96CB7">
    <w:name w:val="3043D3F924F349A392C48414FDC96CB7"/>
    <w:rsid w:val="00483683"/>
    <w:pPr>
      <w:spacing w:after="200" w:line="276" w:lineRule="auto"/>
    </w:pPr>
    <w:rPr>
      <w:lang w:val="en-IN" w:eastAsia="en-IN"/>
    </w:rPr>
  </w:style>
  <w:style w:type="paragraph" w:customStyle="1" w:styleId="DCBDF508DC5649BDA5C74D670A3530A6">
    <w:name w:val="DCBDF508DC5649BDA5C74D670A3530A6"/>
    <w:rsid w:val="00483683"/>
    <w:pPr>
      <w:spacing w:after="200" w:line="276" w:lineRule="auto"/>
    </w:pPr>
    <w:rPr>
      <w:lang w:val="en-IN" w:eastAsia="en-IN"/>
    </w:rPr>
  </w:style>
  <w:style w:type="paragraph" w:customStyle="1" w:styleId="D244194D1A494124A005A3ED05C2AF14">
    <w:name w:val="D244194D1A494124A005A3ED05C2AF14"/>
    <w:rsid w:val="00483683"/>
    <w:pPr>
      <w:spacing w:after="200" w:line="276" w:lineRule="auto"/>
    </w:pPr>
    <w:rPr>
      <w:lang w:val="en-IN" w:eastAsia="en-IN"/>
    </w:rPr>
  </w:style>
  <w:style w:type="paragraph" w:customStyle="1" w:styleId="9899E734A1D84BA7870935D1404775C5">
    <w:name w:val="9899E734A1D84BA7870935D1404775C5"/>
    <w:rsid w:val="00B30587"/>
    <w:pPr>
      <w:spacing w:after="200" w:line="276"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RATIONALE FOR ERC</vt:lpstr>
    </vt:vector>
  </TitlesOfParts>
  <Company>Hewlett-Packard</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DGM(COSTING)</dc:creator>
  <cp:keywords/>
  <dc:description/>
  <cp:lastModifiedBy>acer</cp:lastModifiedBy>
  <cp:revision>31</cp:revision>
  <cp:lastPrinted>2019-11-21T06:31:00Z</cp:lastPrinted>
  <dcterms:created xsi:type="dcterms:W3CDTF">2018-11-29T06:39:00Z</dcterms:created>
  <dcterms:modified xsi:type="dcterms:W3CDTF">2020-09-09T06:15:00Z</dcterms:modified>
</cp:coreProperties>
</file>