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CE" w:rsidRPr="005B5AFD" w:rsidRDefault="00381ACE" w:rsidP="00717D3E">
      <w:pPr>
        <w:pStyle w:val="Subtitle"/>
        <w:tabs>
          <w:tab w:val="left" w:pos="2250"/>
        </w:tabs>
        <w:ind w:right="67"/>
        <w:rPr>
          <w:rFonts w:ascii="Bookman Old Style" w:eastAsiaTheme="minorEastAsia" w:hAnsi="Bookman Old Style" w:cs="Arial"/>
          <w:bCs w:val="0"/>
          <w:sz w:val="32"/>
        </w:rPr>
      </w:pPr>
      <w:r w:rsidRPr="005B5AFD">
        <w:rPr>
          <w:rFonts w:ascii="Bookman Old Style" w:eastAsiaTheme="minorEastAsia" w:hAnsi="Bookman Old Style" w:cs="Arial"/>
          <w:bCs w:val="0"/>
          <w:sz w:val="32"/>
        </w:rPr>
        <w:t>CHAPTER – 3</w:t>
      </w:r>
    </w:p>
    <w:p w:rsidR="00381ACE" w:rsidRPr="005B5AFD" w:rsidRDefault="00381ACE" w:rsidP="00717D3E">
      <w:pPr>
        <w:pStyle w:val="Subtitle"/>
        <w:ind w:right="67"/>
        <w:rPr>
          <w:rFonts w:ascii="Bookman Old Style" w:hAnsi="Bookman Old Style"/>
          <w:color w:val="00B050"/>
          <w:sz w:val="28"/>
        </w:rPr>
      </w:pPr>
    </w:p>
    <w:p w:rsidR="00381ACE" w:rsidRPr="005B5AFD" w:rsidRDefault="00381ACE" w:rsidP="00717D3E">
      <w:pPr>
        <w:spacing w:line="360" w:lineRule="auto"/>
        <w:ind w:right="67"/>
        <w:jc w:val="center"/>
        <w:rPr>
          <w:rFonts w:ascii="Bookman Old Style" w:eastAsiaTheme="minorEastAsia" w:hAnsi="Bookman Old Style" w:cs="Arial"/>
          <w:b/>
          <w:szCs w:val="24"/>
          <w:u w:val="single"/>
        </w:rPr>
      </w:pPr>
      <w:r w:rsidRPr="005B5AFD">
        <w:rPr>
          <w:rFonts w:ascii="Bookman Old Style" w:eastAsiaTheme="minorEastAsia" w:hAnsi="Bookman Old Style" w:cs="Arial"/>
          <w:b/>
          <w:sz w:val="32"/>
          <w:szCs w:val="24"/>
          <w:u w:val="single"/>
        </w:rPr>
        <w:t>TRUING UP FOR FY-20</w:t>
      </w:r>
    </w:p>
    <w:p w:rsidR="00381ACE" w:rsidRPr="00DF50D1" w:rsidRDefault="00381ACE" w:rsidP="00B71B0C">
      <w:pPr>
        <w:spacing w:line="360" w:lineRule="auto"/>
        <w:ind w:right="67"/>
        <w:jc w:val="both"/>
        <w:rPr>
          <w:rFonts w:ascii="Bookman Old Style" w:hAnsi="Bookman Old Style"/>
        </w:rPr>
      </w:pPr>
      <w:r>
        <w:rPr>
          <w:rFonts w:ascii="Bookman Old Style" w:hAnsi="Bookman Old Style"/>
        </w:rPr>
        <w:t xml:space="preserve">BESCOM is seeking the true up 2019-20 in line with regulations of the </w:t>
      </w:r>
      <w:r w:rsidRPr="00DF50D1">
        <w:rPr>
          <w:rFonts w:ascii="Bookman Old Style" w:hAnsi="Bookman Old Style"/>
        </w:rPr>
        <w:t>Hon’ble Commission in its Terms and Conditions for Determination of Tariff for Distribution and Retail Sale of Electricity Regulations, 2006 has specified scope of truing up under the head 2.8.5, the extract is reiterated:</w:t>
      </w:r>
    </w:p>
    <w:p w:rsidR="00381ACE" w:rsidRPr="00DF50D1" w:rsidRDefault="00381ACE" w:rsidP="00717D3E">
      <w:pPr>
        <w:spacing w:line="360" w:lineRule="auto"/>
        <w:ind w:left="567" w:right="634"/>
        <w:jc w:val="both"/>
        <w:rPr>
          <w:rFonts w:ascii="Bookman Old Style" w:hAnsi="Bookman Old Style"/>
          <w:i/>
        </w:rPr>
      </w:pPr>
      <w:r w:rsidRPr="00DF50D1">
        <w:rPr>
          <w:rFonts w:ascii="Bookman Old Style" w:hAnsi="Bookman Old Style"/>
          <w:i/>
        </w:rPr>
        <w:t xml:space="preserve">“2.8.5 </w:t>
      </w:r>
    </w:p>
    <w:p w:rsidR="00381ACE" w:rsidRPr="00DF50D1" w:rsidRDefault="00381ACE" w:rsidP="00717D3E">
      <w:pPr>
        <w:spacing w:line="360" w:lineRule="auto"/>
        <w:ind w:left="567" w:right="634"/>
        <w:jc w:val="both"/>
        <w:rPr>
          <w:rFonts w:ascii="Bookman Old Style" w:hAnsi="Bookman Old Style"/>
          <w:i/>
        </w:rPr>
      </w:pPr>
      <w:r w:rsidRPr="00DF50D1">
        <w:rPr>
          <w:rFonts w:ascii="Bookman Old Style" w:hAnsi="Bookman Old Style"/>
          <w:i/>
        </w:rPr>
        <w:t xml:space="preserve">The scope of the annual performance review shall be a comparison of the performance of the Licensee with the approved forecast of ARR and ERC. Upon completion of annual performance review, the Commission shall pass an order recording: </w:t>
      </w:r>
    </w:p>
    <w:p w:rsidR="00381ACE" w:rsidRPr="00DF50D1" w:rsidRDefault="00381ACE" w:rsidP="00717D3E">
      <w:pPr>
        <w:spacing w:line="360" w:lineRule="auto"/>
        <w:ind w:left="567" w:right="634"/>
        <w:jc w:val="both"/>
        <w:rPr>
          <w:rFonts w:ascii="Bookman Old Style" w:hAnsi="Bookman Old Style"/>
          <w:i/>
        </w:rPr>
      </w:pPr>
      <w:r w:rsidRPr="00DF50D1">
        <w:rPr>
          <w:rFonts w:ascii="Bookman Old Style" w:hAnsi="Bookman Old Style"/>
          <w:i/>
        </w:rPr>
        <w:t xml:space="preserve">a) Any financial loss or gain on account of variation in power purchase cost either on account of change in hydro-thermal mix or other uncontrollable factors and the mechanism by which the licensee shall pass through such gains or losses. </w:t>
      </w:r>
    </w:p>
    <w:p w:rsidR="00381ACE" w:rsidRPr="00DF50D1" w:rsidRDefault="00381ACE" w:rsidP="00717D3E">
      <w:pPr>
        <w:spacing w:line="360" w:lineRule="auto"/>
        <w:ind w:left="567" w:right="634"/>
        <w:jc w:val="both"/>
        <w:rPr>
          <w:rFonts w:ascii="Bookman Old Style" w:hAnsi="Bookman Old Style"/>
          <w:i/>
        </w:rPr>
      </w:pPr>
      <w:r w:rsidRPr="00DF50D1">
        <w:rPr>
          <w:rFonts w:ascii="Bookman Old Style" w:hAnsi="Bookman Old Style"/>
          <w:i/>
        </w:rPr>
        <w:t xml:space="preserve">b) The approved aggregate gain or loss to the Licensee on account of other Uncontrollable factors and the mechanism by which the Licensee shall pass through such gains or losses. </w:t>
      </w:r>
    </w:p>
    <w:p w:rsidR="00381ACE" w:rsidRPr="00DF50D1" w:rsidRDefault="00381ACE" w:rsidP="00717D3E">
      <w:pPr>
        <w:spacing w:line="360" w:lineRule="auto"/>
        <w:ind w:left="567" w:right="634"/>
        <w:jc w:val="both"/>
        <w:rPr>
          <w:rFonts w:ascii="Bookman Old Style" w:hAnsi="Bookman Old Style"/>
          <w:i/>
        </w:rPr>
      </w:pPr>
      <w:r w:rsidRPr="00DF50D1">
        <w:rPr>
          <w:rFonts w:ascii="Bookman Old Style" w:hAnsi="Bookman Old Style"/>
          <w:i/>
        </w:rPr>
        <w:t xml:space="preserve">c) The approved aggregate gain or loss to the Licensee on account of Controllable factors and the mechanism to share such gains or losses. </w:t>
      </w:r>
    </w:p>
    <w:p w:rsidR="00381ACE" w:rsidRPr="00DF50D1" w:rsidRDefault="00381ACE" w:rsidP="00717D3E">
      <w:pPr>
        <w:spacing w:line="360" w:lineRule="auto"/>
        <w:ind w:left="567" w:right="634"/>
        <w:jc w:val="both"/>
        <w:rPr>
          <w:rFonts w:ascii="Bookman Old Style" w:eastAsiaTheme="minorEastAsia" w:hAnsi="Bookman Old Style" w:cs="Arial"/>
          <w:i/>
        </w:rPr>
      </w:pPr>
      <w:r w:rsidRPr="00DF50D1">
        <w:rPr>
          <w:rFonts w:ascii="Bookman Old Style" w:hAnsi="Bookman Old Style"/>
          <w:i/>
        </w:rPr>
        <w:t>d) The approved modifications to the forecast for the remainder period of the Control period, if any.”</w:t>
      </w:r>
    </w:p>
    <w:p w:rsidR="00381ACE" w:rsidRPr="00DF50D1" w:rsidRDefault="00381ACE" w:rsidP="00717D3E">
      <w:pPr>
        <w:spacing w:line="360" w:lineRule="auto"/>
        <w:ind w:right="67"/>
        <w:jc w:val="both"/>
        <w:rPr>
          <w:rFonts w:ascii="Bookman Old Style" w:eastAsiaTheme="minorEastAsia" w:hAnsi="Bookman Old Style" w:cs="Arial"/>
        </w:rPr>
      </w:pPr>
      <w:r w:rsidRPr="00DF50D1">
        <w:rPr>
          <w:rFonts w:ascii="Bookman Old Style" w:eastAsiaTheme="minorEastAsia" w:hAnsi="Bookman Old Style" w:cs="Arial"/>
        </w:rPr>
        <w:t>Therefore based on the above, BESCOM is now seeking true-up of 201</w:t>
      </w:r>
      <w:r>
        <w:rPr>
          <w:rFonts w:ascii="Bookman Old Style" w:eastAsiaTheme="minorEastAsia" w:hAnsi="Bookman Old Style" w:cs="Arial"/>
        </w:rPr>
        <w:t>9-20</w:t>
      </w:r>
      <w:r w:rsidR="00717D3E">
        <w:rPr>
          <w:rFonts w:ascii="Bookman Old Style" w:eastAsiaTheme="minorEastAsia" w:hAnsi="Bookman Old Style" w:cs="Arial"/>
        </w:rPr>
        <w:t>.</w:t>
      </w:r>
    </w:p>
    <w:p w:rsidR="00381ACE" w:rsidRPr="00A26701" w:rsidRDefault="00381ACE" w:rsidP="00717D3E">
      <w:pPr>
        <w:spacing w:line="360" w:lineRule="auto"/>
        <w:ind w:right="67"/>
        <w:jc w:val="both"/>
        <w:rPr>
          <w:rFonts w:ascii="Bookman Old Style" w:eastAsiaTheme="minorEastAsia" w:hAnsi="Bookman Old Style" w:cs="Arial"/>
        </w:rPr>
      </w:pPr>
      <w:r w:rsidRPr="00DF50D1">
        <w:rPr>
          <w:rFonts w:ascii="Bookman Old Style" w:eastAsiaTheme="minorEastAsia" w:hAnsi="Bookman Old Style" w:cs="Arial"/>
        </w:rPr>
        <w:t>Karnataka Electricity Regulatory Commission (KERC) approved the Annual Revenue Requirement (ARR) of BESCOM</w:t>
      </w:r>
      <w:r>
        <w:rPr>
          <w:rFonts w:ascii="Bookman Old Style" w:eastAsiaTheme="minorEastAsia" w:hAnsi="Bookman Old Style" w:cs="Arial"/>
        </w:rPr>
        <w:t xml:space="preserve"> for FY</w:t>
      </w:r>
      <w:r w:rsidR="00717D3E">
        <w:rPr>
          <w:rFonts w:ascii="Bookman Old Style" w:eastAsiaTheme="minorEastAsia" w:hAnsi="Bookman Old Style" w:cs="Arial"/>
        </w:rPr>
        <w:t>-</w:t>
      </w:r>
      <w:r>
        <w:rPr>
          <w:rFonts w:ascii="Bookman Old Style" w:eastAsiaTheme="minorEastAsia" w:hAnsi="Bookman Old Style" w:cs="Arial"/>
        </w:rPr>
        <w:t xml:space="preserve">20 </w:t>
      </w:r>
      <w:r w:rsidRPr="00DF50D1">
        <w:rPr>
          <w:rFonts w:ascii="Bookman Old Style" w:eastAsiaTheme="minorEastAsia" w:hAnsi="Bookman Old Style" w:cs="Arial"/>
        </w:rPr>
        <w:t>in its Tariff Order 201</w:t>
      </w:r>
      <w:r>
        <w:rPr>
          <w:rFonts w:ascii="Bookman Old Style" w:eastAsiaTheme="minorEastAsia" w:hAnsi="Bookman Old Style" w:cs="Arial"/>
        </w:rPr>
        <w:t>9</w:t>
      </w:r>
      <w:r w:rsidRPr="00DF50D1">
        <w:rPr>
          <w:rFonts w:ascii="Bookman Old Style" w:eastAsiaTheme="minorEastAsia" w:hAnsi="Bookman Old Style" w:cs="Arial"/>
        </w:rPr>
        <w:t xml:space="preserve">, dated </w:t>
      </w:r>
      <w:r>
        <w:rPr>
          <w:rFonts w:ascii="Bookman Old Style" w:eastAsiaTheme="minorEastAsia" w:hAnsi="Bookman Old Style" w:cs="Arial"/>
        </w:rPr>
        <w:t>30</w:t>
      </w:r>
      <w:r w:rsidRPr="00CB7594">
        <w:rPr>
          <w:rFonts w:ascii="Bookman Old Style" w:eastAsiaTheme="minorEastAsia" w:hAnsi="Bookman Old Style" w:cs="Arial"/>
          <w:vertAlign w:val="superscript"/>
        </w:rPr>
        <w:t>th</w:t>
      </w:r>
      <w:r>
        <w:rPr>
          <w:rFonts w:ascii="Bookman Old Style" w:eastAsiaTheme="minorEastAsia" w:hAnsi="Bookman Old Style" w:cs="Arial"/>
        </w:rPr>
        <w:t xml:space="preserve"> M</w:t>
      </w:r>
      <w:r w:rsidRPr="00A26701">
        <w:rPr>
          <w:rFonts w:ascii="Bookman Old Style" w:eastAsiaTheme="minorEastAsia" w:hAnsi="Bookman Old Style" w:cs="Arial"/>
        </w:rPr>
        <w:t>ay</w:t>
      </w:r>
      <w:r>
        <w:rPr>
          <w:rFonts w:ascii="Bookman Old Style" w:eastAsiaTheme="minorEastAsia" w:hAnsi="Bookman Old Style" w:cs="Arial"/>
        </w:rPr>
        <w:t xml:space="preserve"> 2019</w:t>
      </w:r>
      <w:r w:rsidRPr="00A26701">
        <w:rPr>
          <w:rFonts w:ascii="Bookman Old Style" w:eastAsiaTheme="minorEastAsia" w:hAnsi="Bookman Old Style" w:cs="Arial"/>
        </w:rPr>
        <w:t>.</w:t>
      </w:r>
    </w:p>
    <w:p w:rsidR="00381ACE" w:rsidRDefault="00381ACE" w:rsidP="00717D3E">
      <w:pPr>
        <w:spacing w:line="360" w:lineRule="auto"/>
        <w:ind w:right="67"/>
        <w:jc w:val="both"/>
        <w:rPr>
          <w:rFonts w:ascii="Bookman Old Style" w:eastAsiaTheme="minorEastAsia" w:hAnsi="Bookman Old Style" w:cs="Arial"/>
        </w:rPr>
      </w:pPr>
      <w:r w:rsidRPr="00DF50D1">
        <w:rPr>
          <w:rFonts w:ascii="Bookman Old Style" w:eastAsiaTheme="minorEastAsia" w:hAnsi="Bookman Old Style" w:cs="Arial"/>
        </w:rPr>
        <w:t>Annual Accounts for</w:t>
      </w:r>
      <w:r>
        <w:rPr>
          <w:rFonts w:ascii="Bookman Old Style" w:eastAsiaTheme="minorEastAsia" w:hAnsi="Bookman Old Style" w:cs="Arial"/>
        </w:rPr>
        <w:t xml:space="preserve"> FY-20</w:t>
      </w:r>
      <w:r w:rsidR="008F63EC">
        <w:rPr>
          <w:rFonts w:ascii="Bookman Old Style" w:eastAsiaTheme="minorEastAsia" w:hAnsi="Bookman Old Style" w:cs="Arial"/>
        </w:rPr>
        <w:t xml:space="preserve"> (awaiting</w:t>
      </w:r>
      <w:r w:rsidR="00075663">
        <w:rPr>
          <w:rFonts w:ascii="Bookman Old Style" w:eastAsiaTheme="minorEastAsia" w:hAnsi="Bookman Old Style" w:cs="Arial"/>
        </w:rPr>
        <w:t xml:space="preserve"> </w:t>
      </w:r>
      <w:r w:rsidR="008F63EC">
        <w:rPr>
          <w:rFonts w:ascii="Bookman Old Style" w:eastAsiaTheme="minorEastAsia" w:hAnsi="Bookman Old Style" w:cs="Arial"/>
        </w:rPr>
        <w:t>B</w:t>
      </w:r>
      <w:r w:rsidR="00075663">
        <w:rPr>
          <w:rFonts w:ascii="Bookman Old Style" w:eastAsiaTheme="minorEastAsia" w:hAnsi="Bookman Old Style" w:cs="Arial"/>
        </w:rPr>
        <w:t>oard approval)</w:t>
      </w:r>
      <w:r w:rsidRPr="00DF50D1">
        <w:rPr>
          <w:rFonts w:ascii="Bookman Old Style" w:eastAsiaTheme="minorEastAsia" w:hAnsi="Bookman Old Style" w:cs="Arial"/>
        </w:rPr>
        <w:t xml:space="preserve"> is finalized, audited by the Statutory Auditors and certified by Accountant General of India. BESCOM</w:t>
      </w:r>
      <w:r>
        <w:rPr>
          <w:rFonts w:ascii="Bookman Old Style" w:eastAsiaTheme="minorEastAsia" w:hAnsi="Bookman Old Style" w:cs="Arial"/>
        </w:rPr>
        <w:t xml:space="preserve"> </w:t>
      </w:r>
      <w:r w:rsidRPr="00DF50D1">
        <w:rPr>
          <w:rFonts w:ascii="Bookman Old Style" w:eastAsiaTheme="minorEastAsia" w:hAnsi="Bookman Old Style" w:cs="Arial"/>
        </w:rPr>
        <w:t xml:space="preserve">is submitting Truing </w:t>
      </w:r>
      <w:r>
        <w:rPr>
          <w:rFonts w:ascii="Bookman Old Style" w:eastAsiaTheme="minorEastAsia" w:hAnsi="Bookman Old Style" w:cs="Arial"/>
        </w:rPr>
        <w:t xml:space="preserve">up of FY-20 </w:t>
      </w:r>
      <w:r w:rsidRPr="00DF50D1">
        <w:rPr>
          <w:rFonts w:ascii="Bookman Old Style" w:eastAsiaTheme="minorEastAsia" w:hAnsi="Bookman Old Style" w:cs="Arial"/>
        </w:rPr>
        <w:t>befo</w:t>
      </w:r>
      <w:r w:rsidR="00A53E05">
        <w:rPr>
          <w:rFonts w:ascii="Bookman Old Style" w:eastAsiaTheme="minorEastAsia" w:hAnsi="Bookman Old Style" w:cs="Arial"/>
        </w:rPr>
        <w:t xml:space="preserve">re the Commission based on </w:t>
      </w:r>
      <w:r w:rsidRPr="00DF50D1">
        <w:rPr>
          <w:rFonts w:ascii="Bookman Old Style" w:eastAsiaTheme="minorEastAsia" w:hAnsi="Bookman Old Style" w:cs="Arial"/>
        </w:rPr>
        <w:t>audited accounts.</w:t>
      </w:r>
    </w:p>
    <w:p w:rsidR="00381ACE" w:rsidRDefault="00381ACE" w:rsidP="001F06A0">
      <w:pPr>
        <w:pStyle w:val="ListParagraph"/>
        <w:numPr>
          <w:ilvl w:val="0"/>
          <w:numId w:val="6"/>
        </w:numPr>
        <w:spacing w:line="360" w:lineRule="exact"/>
        <w:ind w:left="426" w:right="67" w:hanging="426"/>
        <w:jc w:val="both"/>
        <w:rPr>
          <w:rFonts w:ascii="Bookman Old Style" w:eastAsiaTheme="minorEastAsia" w:hAnsi="Bookman Old Style" w:cs="Arial"/>
          <w:b/>
          <w:sz w:val="22"/>
          <w:szCs w:val="22"/>
        </w:rPr>
      </w:pPr>
      <w:r w:rsidRPr="00717D3E">
        <w:rPr>
          <w:rFonts w:ascii="Bookman Old Style" w:eastAsiaTheme="minorEastAsia" w:hAnsi="Bookman Old Style" w:cs="Arial"/>
          <w:b/>
          <w:sz w:val="28"/>
          <w:szCs w:val="22"/>
        </w:rPr>
        <w:lastRenderedPageBreak/>
        <w:t>Truing up of Revenue billed and Revenue available towards ARR</w:t>
      </w:r>
      <w:r w:rsidR="00717D3E">
        <w:rPr>
          <w:rFonts w:ascii="Bookman Old Style" w:eastAsiaTheme="minorEastAsia" w:hAnsi="Bookman Old Style" w:cs="Arial"/>
          <w:b/>
          <w:sz w:val="28"/>
          <w:szCs w:val="22"/>
        </w:rPr>
        <w:t>:</w:t>
      </w:r>
    </w:p>
    <w:p w:rsidR="00381ACE" w:rsidRDefault="00381ACE" w:rsidP="00717D3E">
      <w:pPr>
        <w:pStyle w:val="ListParagraph"/>
        <w:spacing w:line="360" w:lineRule="exact"/>
        <w:ind w:left="270" w:right="67"/>
        <w:rPr>
          <w:rFonts w:ascii="Bookman Old Style" w:eastAsiaTheme="minorEastAsia" w:hAnsi="Bookman Old Style" w:cs="Arial"/>
          <w:b/>
          <w:sz w:val="22"/>
          <w:szCs w:val="22"/>
        </w:rPr>
      </w:pPr>
    </w:p>
    <w:p w:rsidR="00381ACE" w:rsidRDefault="00381ACE" w:rsidP="00717D3E">
      <w:pPr>
        <w:spacing w:line="360" w:lineRule="auto"/>
        <w:ind w:right="67"/>
        <w:jc w:val="both"/>
        <w:rPr>
          <w:rFonts w:ascii="Bookman Old Style" w:hAnsi="Bookman Old Style" w:cs="Calibri"/>
          <w:bCs/>
          <w:lang w:eastAsia="en-IN"/>
        </w:rPr>
      </w:pPr>
      <w:r w:rsidRPr="00A1481B">
        <w:rPr>
          <w:rFonts w:ascii="Bookman Old Style" w:eastAsiaTheme="minorEastAsia" w:hAnsi="Bookman Old Style" w:cs="Arial"/>
        </w:rPr>
        <w:t xml:space="preserve">In the </w:t>
      </w:r>
      <w:r>
        <w:rPr>
          <w:rFonts w:ascii="Bookman Old Style" w:eastAsiaTheme="minorEastAsia" w:hAnsi="Bookman Old Style" w:cs="Arial"/>
        </w:rPr>
        <w:t>Tariff Order 2019, dtd</w:t>
      </w:r>
      <w:r w:rsidR="00B71B0C">
        <w:rPr>
          <w:rFonts w:ascii="Bookman Old Style" w:eastAsiaTheme="minorEastAsia" w:hAnsi="Bookman Old Style" w:cs="Arial"/>
        </w:rPr>
        <w:t>:</w:t>
      </w:r>
      <w:r>
        <w:rPr>
          <w:rFonts w:ascii="Bookman Old Style" w:eastAsiaTheme="minorEastAsia" w:hAnsi="Bookman Old Style" w:cs="Arial"/>
        </w:rPr>
        <w:t xml:space="preserve"> 30.05.2019 the Hon’ble Commission had </w:t>
      </w:r>
      <w:r w:rsidR="00A53E05">
        <w:rPr>
          <w:rFonts w:ascii="Bookman Old Style" w:eastAsiaTheme="minorEastAsia" w:hAnsi="Bookman Old Style" w:cs="Arial"/>
        </w:rPr>
        <w:t>approved sale of energy of 28</w:t>
      </w:r>
      <w:r>
        <w:rPr>
          <w:rFonts w:ascii="Bookman Old Style" w:eastAsiaTheme="minorEastAsia" w:hAnsi="Bookman Old Style" w:cs="Arial"/>
        </w:rPr>
        <w:t>858.33</w:t>
      </w:r>
      <w:r w:rsidRPr="00A1481B">
        <w:rPr>
          <w:rFonts w:ascii="Bookman Old Style" w:eastAsiaTheme="minorEastAsia" w:hAnsi="Bookman Old Style" w:cs="Arial"/>
        </w:rPr>
        <w:t xml:space="preserve"> MU for FY-</w:t>
      </w:r>
      <w:r>
        <w:rPr>
          <w:rFonts w:ascii="Bookman Old Style" w:eastAsiaTheme="minorEastAsia" w:hAnsi="Bookman Old Style" w:cs="Arial"/>
        </w:rPr>
        <w:t>20</w:t>
      </w:r>
      <w:r w:rsidRPr="00A1481B">
        <w:rPr>
          <w:rFonts w:ascii="Bookman Old Style" w:eastAsiaTheme="minorEastAsia" w:hAnsi="Bookman Old Style" w:cs="Arial"/>
        </w:rPr>
        <w:t>. Against the same,</w:t>
      </w:r>
      <w:r w:rsidRPr="00A1481B">
        <w:rPr>
          <w:rFonts w:ascii="Bookman Old Style" w:hAnsi="Bookman Old Style" w:cs="Calibri"/>
          <w:bCs/>
          <w:lang w:eastAsia="en-IN"/>
        </w:rPr>
        <w:t xml:space="preserve"> BESCOM has actually billed </w:t>
      </w:r>
      <w:r>
        <w:rPr>
          <w:rFonts w:ascii="Bookman Old Style" w:hAnsi="Bookman Old Style" w:cs="Calibri"/>
          <w:bCs/>
          <w:lang w:eastAsia="en-IN"/>
        </w:rPr>
        <w:t>27834.6</w:t>
      </w:r>
      <w:r w:rsidR="00C57F03">
        <w:rPr>
          <w:rFonts w:ascii="Bookman Old Style" w:hAnsi="Bookman Old Style" w:cs="Calibri"/>
          <w:bCs/>
          <w:lang w:eastAsia="en-IN"/>
        </w:rPr>
        <w:t xml:space="preserve"> </w:t>
      </w:r>
      <w:r>
        <w:rPr>
          <w:rFonts w:ascii="Bookman Old Style" w:hAnsi="Bookman Old Style" w:cs="Calibri"/>
          <w:bCs/>
          <w:lang w:eastAsia="en-IN"/>
        </w:rPr>
        <w:t>MU as sale of energy.</w:t>
      </w:r>
    </w:p>
    <w:p w:rsidR="000B3921" w:rsidRPr="005E6471" w:rsidRDefault="000B3921" w:rsidP="000B3921">
      <w:pPr>
        <w:spacing w:line="360" w:lineRule="auto"/>
        <w:ind w:right="67"/>
        <w:jc w:val="center"/>
        <w:rPr>
          <w:rFonts w:ascii="Bookman Old Style" w:hAnsi="Bookman Old Style" w:cs="Calibri"/>
          <w:b/>
          <w:bCs/>
          <w:sz w:val="18"/>
          <w:lang w:eastAsia="en-IN"/>
        </w:rPr>
      </w:pPr>
      <w:r w:rsidRPr="005E6471">
        <w:rPr>
          <w:rFonts w:ascii="Bookman Old Style" w:hAnsi="Bookman Old Style" w:cs="Calibri"/>
          <w:b/>
          <w:bCs/>
          <w:sz w:val="18"/>
          <w:lang w:eastAsia="en-IN"/>
        </w:rPr>
        <w:t>Table 3.1</w:t>
      </w:r>
    </w:p>
    <w:tbl>
      <w:tblPr>
        <w:tblW w:w="6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120"/>
        <w:gridCol w:w="1640"/>
      </w:tblGrid>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jc w:val="center"/>
              <w:rPr>
                <w:rFonts w:ascii="Bookman Old Style" w:hAnsi="Bookman Old Style" w:cs="Calibri"/>
                <w:b/>
                <w:bCs/>
                <w:color w:val="000000"/>
                <w:sz w:val="20"/>
                <w:szCs w:val="20"/>
                <w:lang w:eastAsia="en-IN"/>
              </w:rPr>
            </w:pPr>
            <w:r w:rsidRPr="00E203D5">
              <w:rPr>
                <w:rFonts w:ascii="Bookman Old Style" w:hAnsi="Bookman Old Style" w:cs="Calibri"/>
                <w:b/>
                <w:bCs/>
                <w:color w:val="000000"/>
                <w:sz w:val="20"/>
                <w:szCs w:val="20"/>
                <w:lang w:eastAsia="en-IN"/>
              </w:rPr>
              <w:t>Category</w:t>
            </w:r>
          </w:p>
        </w:tc>
        <w:tc>
          <w:tcPr>
            <w:tcW w:w="2120" w:type="dxa"/>
            <w:shd w:val="clear" w:color="auto" w:fill="auto"/>
            <w:vAlign w:val="center"/>
            <w:hideMark/>
          </w:tcPr>
          <w:p w:rsidR="00381ACE" w:rsidRPr="00E203D5" w:rsidRDefault="00381ACE" w:rsidP="00C110E1">
            <w:pPr>
              <w:spacing w:after="0" w:line="240" w:lineRule="auto"/>
              <w:ind w:right="67"/>
              <w:jc w:val="center"/>
              <w:rPr>
                <w:rFonts w:ascii="Bookman Old Style" w:hAnsi="Bookman Old Style" w:cs="Calibri"/>
                <w:b/>
                <w:bCs/>
                <w:color w:val="000000"/>
                <w:sz w:val="20"/>
                <w:szCs w:val="20"/>
                <w:lang w:eastAsia="en-IN"/>
              </w:rPr>
            </w:pPr>
            <w:r w:rsidRPr="00E203D5">
              <w:rPr>
                <w:rFonts w:ascii="Bookman Old Style" w:hAnsi="Bookman Old Style" w:cs="Calibri"/>
                <w:b/>
                <w:bCs/>
                <w:color w:val="000000"/>
                <w:sz w:val="20"/>
                <w:szCs w:val="20"/>
                <w:lang w:eastAsia="en-IN"/>
              </w:rPr>
              <w:t>Approved (MU)</w:t>
            </w:r>
          </w:p>
        </w:tc>
        <w:tc>
          <w:tcPr>
            <w:tcW w:w="1640" w:type="dxa"/>
            <w:shd w:val="clear" w:color="auto" w:fill="auto"/>
            <w:vAlign w:val="center"/>
            <w:hideMark/>
          </w:tcPr>
          <w:p w:rsidR="00381ACE" w:rsidRPr="00E203D5" w:rsidRDefault="00381ACE" w:rsidP="00C110E1">
            <w:pPr>
              <w:spacing w:after="0" w:line="240" w:lineRule="auto"/>
              <w:ind w:right="67"/>
              <w:jc w:val="center"/>
              <w:rPr>
                <w:rFonts w:ascii="Bookman Old Style" w:hAnsi="Bookman Old Style" w:cs="Calibri"/>
                <w:b/>
                <w:bCs/>
                <w:color w:val="000000"/>
                <w:sz w:val="20"/>
                <w:szCs w:val="20"/>
                <w:lang w:eastAsia="en-IN"/>
              </w:rPr>
            </w:pPr>
            <w:r w:rsidRPr="00E203D5">
              <w:rPr>
                <w:rFonts w:ascii="Bookman Old Style" w:hAnsi="Bookman Old Style" w:cs="Calibri"/>
                <w:b/>
                <w:bCs/>
                <w:color w:val="000000"/>
                <w:sz w:val="20"/>
                <w:szCs w:val="20"/>
                <w:lang w:eastAsia="en-IN"/>
              </w:rPr>
              <w:t>Actual (MU)</w:t>
            </w:r>
          </w:p>
        </w:tc>
      </w:tr>
      <w:tr w:rsidR="00381ACE" w:rsidRPr="00E203D5" w:rsidTr="00FC0D9A">
        <w:trPr>
          <w:trHeight w:val="6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 xml:space="preserve">LT-1 BJ/KJ-more than 40 units </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45.98</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46.78</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 xml:space="preserve">LT-2a </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7476.86</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7285.82</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LT-2b</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54.82</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56.57</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LT-3</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2247.16</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2240.82</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LT-4 (b)</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1.73</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1.35</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LT-4 (c)</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4.54</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5.67</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LT-5</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1269.19</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1217.67</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LT-6-WS</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1352.55</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1317.38</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LT-6-SL</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513.92</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524.64</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LT-7</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141.02</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205.45</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HT-1</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715.85</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762.04</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HT-2 (a)</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4866.56</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4173.06</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HT-2 (b)</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2819.19</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2345.62</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HT-2C</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380.51</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331.52</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HT-3(a)&amp; (b)</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47.4</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58.42</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HT-4</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70.38</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78.30</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HT-5</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87.67</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89.48</w:t>
            </w:r>
          </w:p>
        </w:tc>
      </w:tr>
      <w:tr w:rsidR="00381ACE" w:rsidRPr="00E203D5" w:rsidTr="00FC0D9A">
        <w:trPr>
          <w:trHeight w:val="600"/>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b/>
                <w:bCs/>
                <w:color w:val="000000"/>
                <w:sz w:val="20"/>
                <w:szCs w:val="20"/>
                <w:lang w:eastAsia="en-IN"/>
              </w:rPr>
            </w:pPr>
            <w:r w:rsidRPr="00E203D5">
              <w:rPr>
                <w:rFonts w:ascii="Bookman Old Style" w:hAnsi="Bookman Old Style" w:cs="Calibri"/>
                <w:b/>
                <w:bCs/>
                <w:color w:val="000000"/>
                <w:sz w:val="20"/>
                <w:szCs w:val="20"/>
                <w:lang w:eastAsia="en-IN"/>
              </w:rPr>
              <w:t>Sub-Total other than BJ/KJ &amp; IP sets</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b/>
                <w:bCs/>
                <w:color w:val="000000"/>
                <w:sz w:val="20"/>
                <w:szCs w:val="20"/>
                <w:lang w:eastAsia="en-IN"/>
              </w:rPr>
            </w:pPr>
            <w:r w:rsidRPr="00E203D5">
              <w:rPr>
                <w:rFonts w:ascii="Bookman Old Style" w:hAnsi="Bookman Old Style" w:cs="Calibri"/>
                <w:b/>
                <w:bCs/>
                <w:color w:val="000000"/>
                <w:sz w:val="20"/>
                <w:szCs w:val="20"/>
                <w:lang w:eastAsia="en-IN"/>
              </w:rPr>
              <w:t>22095.33</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b/>
                <w:bCs/>
                <w:sz w:val="20"/>
                <w:szCs w:val="20"/>
                <w:lang w:eastAsia="en-IN"/>
              </w:rPr>
            </w:pPr>
            <w:r w:rsidRPr="005B5AFD">
              <w:rPr>
                <w:rFonts w:ascii="Bookman Old Style" w:hAnsi="Bookman Old Style" w:cs="Calibri"/>
                <w:b/>
                <w:bCs/>
                <w:sz w:val="20"/>
                <w:szCs w:val="20"/>
                <w:lang w:eastAsia="en-IN"/>
              </w:rPr>
              <w:t>20740.59</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LT-1 BJ/KJ</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137.9</w:t>
            </w:r>
            <w:r w:rsidR="00C57F03">
              <w:rPr>
                <w:rFonts w:ascii="Bookman Old Style" w:hAnsi="Bookman Old Style" w:cs="Calibri"/>
                <w:color w:val="000000"/>
                <w:sz w:val="20"/>
                <w:szCs w:val="20"/>
                <w:lang w:eastAsia="en-IN"/>
              </w:rPr>
              <w:t>0</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177.65</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LT-4 (a)IP Sets</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color w:val="000000"/>
                <w:sz w:val="20"/>
                <w:szCs w:val="20"/>
                <w:lang w:eastAsia="en-IN"/>
              </w:rPr>
            </w:pPr>
            <w:r w:rsidRPr="00E203D5">
              <w:rPr>
                <w:rFonts w:ascii="Bookman Old Style" w:hAnsi="Bookman Old Style" w:cs="Calibri"/>
                <w:color w:val="000000"/>
                <w:sz w:val="20"/>
                <w:szCs w:val="20"/>
                <w:lang w:eastAsia="en-IN"/>
              </w:rPr>
              <w:t>6625.09</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sz w:val="20"/>
                <w:szCs w:val="20"/>
                <w:lang w:eastAsia="en-IN"/>
              </w:rPr>
            </w:pPr>
            <w:r w:rsidRPr="005B5AFD">
              <w:rPr>
                <w:rFonts w:ascii="Bookman Old Style" w:hAnsi="Bookman Old Style" w:cs="Calibri"/>
                <w:sz w:val="20"/>
                <w:szCs w:val="20"/>
                <w:lang w:eastAsia="en-IN"/>
              </w:rPr>
              <w:t>6916.36</w:t>
            </w:r>
          </w:p>
        </w:tc>
      </w:tr>
      <w:tr w:rsidR="00381ACE" w:rsidRPr="00E203D5" w:rsidTr="00FC0D9A">
        <w:trPr>
          <w:trHeight w:val="52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b/>
                <w:bCs/>
                <w:color w:val="000000"/>
                <w:sz w:val="20"/>
                <w:szCs w:val="20"/>
                <w:lang w:eastAsia="en-IN"/>
              </w:rPr>
            </w:pPr>
            <w:r w:rsidRPr="00E203D5">
              <w:rPr>
                <w:rFonts w:ascii="Bookman Old Style" w:hAnsi="Bookman Old Style" w:cs="Calibri"/>
                <w:b/>
                <w:bCs/>
                <w:color w:val="000000"/>
                <w:sz w:val="20"/>
                <w:szCs w:val="20"/>
                <w:lang w:eastAsia="en-IN"/>
              </w:rPr>
              <w:t>Sub Total  BJ/KJ &amp; IP sets</w:t>
            </w:r>
          </w:p>
        </w:tc>
        <w:tc>
          <w:tcPr>
            <w:tcW w:w="2120" w:type="dxa"/>
            <w:shd w:val="clear" w:color="auto" w:fill="auto"/>
            <w:vAlign w:val="center"/>
            <w:hideMark/>
          </w:tcPr>
          <w:p w:rsidR="00381ACE" w:rsidRPr="00E203D5" w:rsidRDefault="00381ACE" w:rsidP="00C110E1">
            <w:pPr>
              <w:spacing w:after="0" w:line="240" w:lineRule="auto"/>
              <w:ind w:right="67"/>
              <w:jc w:val="right"/>
              <w:rPr>
                <w:rFonts w:ascii="Bookman Old Style" w:hAnsi="Bookman Old Style" w:cs="Calibri"/>
                <w:b/>
                <w:bCs/>
                <w:color w:val="000000"/>
                <w:sz w:val="20"/>
                <w:szCs w:val="20"/>
                <w:lang w:eastAsia="en-IN"/>
              </w:rPr>
            </w:pPr>
            <w:r w:rsidRPr="00E203D5">
              <w:rPr>
                <w:rFonts w:ascii="Bookman Old Style" w:hAnsi="Bookman Old Style" w:cs="Calibri"/>
                <w:b/>
                <w:bCs/>
                <w:color w:val="000000"/>
                <w:sz w:val="20"/>
                <w:szCs w:val="20"/>
                <w:lang w:eastAsia="en-IN"/>
              </w:rPr>
              <w:t>6762.99</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b/>
                <w:bCs/>
                <w:sz w:val="20"/>
                <w:szCs w:val="20"/>
                <w:lang w:eastAsia="en-IN"/>
              </w:rPr>
            </w:pPr>
            <w:r w:rsidRPr="005B5AFD">
              <w:rPr>
                <w:rFonts w:ascii="Bookman Old Style" w:hAnsi="Bookman Old Style" w:cs="Calibri"/>
                <w:b/>
                <w:bCs/>
                <w:sz w:val="20"/>
                <w:szCs w:val="20"/>
                <w:lang w:eastAsia="en-IN"/>
              </w:rPr>
              <w:t>7094.01</w:t>
            </w:r>
          </w:p>
        </w:tc>
      </w:tr>
      <w:tr w:rsidR="00381ACE" w:rsidRPr="00E203D5" w:rsidTr="00FC0D9A">
        <w:trPr>
          <w:trHeight w:val="315"/>
          <w:jc w:val="center"/>
        </w:trPr>
        <w:tc>
          <w:tcPr>
            <w:tcW w:w="2560" w:type="dxa"/>
            <w:shd w:val="clear" w:color="auto" w:fill="auto"/>
            <w:vAlign w:val="center"/>
            <w:hideMark/>
          </w:tcPr>
          <w:p w:rsidR="00381ACE" w:rsidRPr="00E203D5" w:rsidRDefault="00381ACE" w:rsidP="00C110E1">
            <w:pPr>
              <w:spacing w:after="0" w:line="240" w:lineRule="auto"/>
              <w:ind w:right="67"/>
              <w:rPr>
                <w:rFonts w:ascii="Bookman Old Style" w:hAnsi="Bookman Old Style" w:cs="Calibri"/>
                <w:b/>
                <w:bCs/>
                <w:color w:val="000000"/>
                <w:sz w:val="20"/>
                <w:szCs w:val="20"/>
                <w:lang w:eastAsia="en-IN"/>
              </w:rPr>
            </w:pPr>
            <w:r w:rsidRPr="00E203D5">
              <w:rPr>
                <w:rFonts w:ascii="Bookman Old Style" w:hAnsi="Bookman Old Style" w:cs="Calibri"/>
                <w:b/>
                <w:bCs/>
                <w:color w:val="000000"/>
                <w:sz w:val="20"/>
                <w:szCs w:val="20"/>
                <w:lang w:eastAsia="en-IN"/>
              </w:rPr>
              <w:t>Total</w:t>
            </w:r>
          </w:p>
        </w:tc>
        <w:tc>
          <w:tcPr>
            <w:tcW w:w="2120" w:type="dxa"/>
            <w:shd w:val="clear" w:color="auto" w:fill="auto"/>
            <w:vAlign w:val="center"/>
            <w:hideMark/>
          </w:tcPr>
          <w:p w:rsidR="00381ACE" w:rsidRPr="00E203D5" w:rsidRDefault="00381ACE" w:rsidP="00A53E05">
            <w:pPr>
              <w:spacing w:after="0" w:line="240" w:lineRule="auto"/>
              <w:ind w:right="67"/>
              <w:jc w:val="right"/>
              <w:rPr>
                <w:rFonts w:ascii="Bookman Old Style" w:hAnsi="Bookman Old Style" w:cs="Calibri"/>
                <w:b/>
                <w:bCs/>
                <w:color w:val="000000"/>
                <w:sz w:val="20"/>
                <w:szCs w:val="20"/>
                <w:lang w:eastAsia="en-IN"/>
              </w:rPr>
            </w:pPr>
            <w:r w:rsidRPr="00E203D5">
              <w:rPr>
                <w:rFonts w:ascii="Bookman Old Style" w:hAnsi="Bookman Old Style" w:cs="Calibri"/>
                <w:b/>
                <w:bCs/>
                <w:color w:val="000000"/>
                <w:sz w:val="20"/>
                <w:szCs w:val="20"/>
                <w:lang w:eastAsia="en-IN"/>
              </w:rPr>
              <w:t>28858.3</w:t>
            </w:r>
            <w:r w:rsidR="00A53E05">
              <w:rPr>
                <w:rFonts w:ascii="Bookman Old Style" w:hAnsi="Bookman Old Style" w:cs="Calibri"/>
                <w:b/>
                <w:bCs/>
                <w:color w:val="000000"/>
                <w:sz w:val="20"/>
                <w:szCs w:val="20"/>
                <w:lang w:eastAsia="en-IN"/>
              </w:rPr>
              <w:t>3</w:t>
            </w:r>
          </w:p>
        </w:tc>
        <w:tc>
          <w:tcPr>
            <w:tcW w:w="1640" w:type="dxa"/>
            <w:shd w:val="clear" w:color="auto" w:fill="auto"/>
            <w:vAlign w:val="center"/>
            <w:hideMark/>
          </w:tcPr>
          <w:p w:rsidR="00381ACE" w:rsidRPr="005B5AFD" w:rsidRDefault="00381ACE" w:rsidP="00C110E1">
            <w:pPr>
              <w:spacing w:after="0" w:line="240" w:lineRule="auto"/>
              <w:ind w:right="67"/>
              <w:jc w:val="right"/>
              <w:rPr>
                <w:rFonts w:ascii="Bookman Old Style" w:hAnsi="Bookman Old Style" w:cs="Calibri"/>
                <w:b/>
                <w:bCs/>
                <w:sz w:val="20"/>
                <w:szCs w:val="20"/>
                <w:lang w:eastAsia="en-IN"/>
              </w:rPr>
            </w:pPr>
            <w:r w:rsidRPr="005B5AFD">
              <w:rPr>
                <w:rFonts w:ascii="Bookman Old Style" w:hAnsi="Bookman Old Style" w:cs="Calibri"/>
                <w:b/>
                <w:bCs/>
                <w:sz w:val="20"/>
                <w:szCs w:val="20"/>
                <w:lang w:eastAsia="en-IN"/>
              </w:rPr>
              <w:t>27834.60</w:t>
            </w:r>
          </w:p>
        </w:tc>
      </w:tr>
    </w:tbl>
    <w:p w:rsidR="00381ACE" w:rsidRDefault="00381ACE" w:rsidP="00717D3E">
      <w:pPr>
        <w:spacing w:line="360" w:lineRule="auto"/>
        <w:ind w:right="67"/>
        <w:jc w:val="both"/>
        <w:rPr>
          <w:rFonts w:ascii="Bookman Old Style" w:hAnsi="Bookman Old Style" w:cs="Calibri"/>
          <w:bCs/>
          <w:lang w:eastAsia="en-IN"/>
        </w:rPr>
      </w:pPr>
    </w:p>
    <w:p w:rsidR="00381ACE" w:rsidRDefault="00381ACE" w:rsidP="00717D3E">
      <w:pPr>
        <w:spacing w:line="360" w:lineRule="auto"/>
        <w:ind w:right="67"/>
        <w:jc w:val="both"/>
        <w:rPr>
          <w:rFonts w:ascii="Bookman Old Style" w:hAnsi="Bookman Old Style"/>
        </w:rPr>
      </w:pPr>
      <w:r w:rsidRPr="00B71B0C">
        <w:rPr>
          <w:rFonts w:ascii="Bookman Old Style" w:hAnsi="Bookman Old Style"/>
        </w:rPr>
        <w:t>From the above table it can be seen that the energy sales of BESCOM has declined from the approved sales by 1023.72 MU. The major reductions in energy sales are in LT</w:t>
      </w:r>
      <w:r w:rsidR="001F06A0">
        <w:rPr>
          <w:rFonts w:ascii="Bookman Old Style" w:hAnsi="Bookman Old Style"/>
        </w:rPr>
        <w:t>-</w:t>
      </w:r>
      <w:r w:rsidRPr="00B71B0C">
        <w:rPr>
          <w:rFonts w:ascii="Bookman Old Style" w:hAnsi="Bookman Old Style"/>
        </w:rPr>
        <w:t>2a, LT</w:t>
      </w:r>
      <w:r w:rsidR="001F06A0">
        <w:rPr>
          <w:rFonts w:ascii="Bookman Old Style" w:hAnsi="Bookman Old Style"/>
        </w:rPr>
        <w:t>-</w:t>
      </w:r>
      <w:r w:rsidRPr="00B71B0C">
        <w:rPr>
          <w:rFonts w:ascii="Bookman Old Style" w:hAnsi="Bookman Old Style"/>
        </w:rPr>
        <w:t>5, LT</w:t>
      </w:r>
      <w:r w:rsidR="001F06A0">
        <w:rPr>
          <w:rFonts w:ascii="Bookman Old Style" w:hAnsi="Bookman Old Style"/>
        </w:rPr>
        <w:t>-</w:t>
      </w:r>
      <w:r w:rsidRPr="00B71B0C">
        <w:rPr>
          <w:rFonts w:ascii="Bookman Old Style" w:hAnsi="Bookman Old Style"/>
        </w:rPr>
        <w:t>6-W/S, HT</w:t>
      </w:r>
      <w:r w:rsidR="001F06A0">
        <w:rPr>
          <w:rFonts w:ascii="Bookman Old Style" w:hAnsi="Bookman Old Style"/>
        </w:rPr>
        <w:t>-</w:t>
      </w:r>
      <w:r w:rsidRPr="00B71B0C">
        <w:rPr>
          <w:rFonts w:ascii="Bookman Old Style" w:hAnsi="Bookman Old Style"/>
        </w:rPr>
        <w:t>2a, HT</w:t>
      </w:r>
      <w:r w:rsidR="001F06A0">
        <w:rPr>
          <w:rFonts w:ascii="Bookman Old Style" w:hAnsi="Bookman Old Style"/>
        </w:rPr>
        <w:t>-</w:t>
      </w:r>
      <w:r w:rsidRPr="00B71B0C">
        <w:rPr>
          <w:rFonts w:ascii="Bookman Old Style" w:hAnsi="Bookman Old Style"/>
        </w:rPr>
        <w:t>2b and HT-2c category. The reduction in energy sales of LT</w:t>
      </w:r>
      <w:r w:rsidR="00213832">
        <w:rPr>
          <w:rFonts w:ascii="Bookman Old Style" w:hAnsi="Bookman Old Style"/>
        </w:rPr>
        <w:t>-</w:t>
      </w:r>
      <w:r w:rsidRPr="00B71B0C">
        <w:rPr>
          <w:rFonts w:ascii="Bookman Old Style" w:hAnsi="Bookman Old Style"/>
        </w:rPr>
        <w:t xml:space="preserve">2a category may be contributed to demand side management initiatives like installing LED lights, solar water heaters etc. The progress and energy savings of </w:t>
      </w:r>
      <w:r w:rsidRPr="00B71B0C">
        <w:rPr>
          <w:rFonts w:ascii="Bookman Old Style" w:hAnsi="Bookman Old Style"/>
        </w:rPr>
        <w:lastRenderedPageBreak/>
        <w:t>Hosa Belaku scheme, Pavan scheme and solar water heater are depicted in the below table:</w:t>
      </w:r>
    </w:p>
    <w:p w:rsidR="000B3921" w:rsidRPr="005E6471" w:rsidRDefault="000B3921" w:rsidP="000B3921">
      <w:pPr>
        <w:spacing w:line="360" w:lineRule="auto"/>
        <w:ind w:right="67"/>
        <w:jc w:val="center"/>
        <w:rPr>
          <w:rFonts w:ascii="Bookman Old Style" w:hAnsi="Bookman Old Style" w:cs="Calibri"/>
          <w:b/>
          <w:bCs/>
          <w:sz w:val="18"/>
          <w:lang w:eastAsia="en-IN"/>
        </w:rPr>
      </w:pPr>
      <w:r w:rsidRPr="005E6471">
        <w:rPr>
          <w:rFonts w:ascii="Bookman Old Style" w:hAnsi="Bookman Old Style" w:cs="Calibri"/>
          <w:b/>
          <w:bCs/>
          <w:sz w:val="18"/>
          <w:lang w:eastAsia="en-IN"/>
        </w:rPr>
        <w:t>Table 3.2</w:t>
      </w:r>
    </w:p>
    <w:tbl>
      <w:tblPr>
        <w:tblW w:w="0" w:type="auto"/>
        <w:jc w:val="center"/>
        <w:tblCellMar>
          <w:left w:w="0" w:type="dxa"/>
          <w:right w:w="0" w:type="dxa"/>
        </w:tblCellMar>
        <w:tblLook w:val="04A0" w:firstRow="1" w:lastRow="0" w:firstColumn="1" w:lastColumn="0" w:noHBand="0" w:noVBand="1"/>
      </w:tblPr>
      <w:tblGrid>
        <w:gridCol w:w="4651"/>
        <w:gridCol w:w="2268"/>
        <w:gridCol w:w="2126"/>
      </w:tblGrid>
      <w:tr w:rsidR="00381ACE" w:rsidRPr="003441DD" w:rsidTr="0071396F">
        <w:trPr>
          <w:trHeight w:val="647"/>
          <w:jc w:val="center"/>
        </w:trPr>
        <w:tc>
          <w:tcPr>
            <w:tcW w:w="4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1ACE" w:rsidRPr="005B20F3" w:rsidRDefault="00381ACE" w:rsidP="00B71B0C">
            <w:pPr>
              <w:spacing w:after="0" w:line="360" w:lineRule="auto"/>
              <w:ind w:right="67"/>
              <w:jc w:val="center"/>
              <w:rPr>
                <w:rFonts w:cs="Calibri"/>
                <w:lang w:eastAsia="en-IN"/>
              </w:rPr>
            </w:pPr>
            <w:r w:rsidRPr="005B20F3">
              <w:rPr>
                <w:rFonts w:ascii="Bookman Old Style" w:hAnsi="Bookman Old Style" w:cs="Calibri"/>
                <w:b/>
                <w:bCs/>
                <w:szCs w:val="24"/>
                <w:lang w:eastAsia="en-IN"/>
              </w:rPr>
              <w:t>Particulars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1ACE" w:rsidRPr="005B20F3" w:rsidRDefault="00381ACE" w:rsidP="00B71B0C">
            <w:pPr>
              <w:spacing w:after="0" w:line="360" w:lineRule="auto"/>
              <w:ind w:right="67"/>
              <w:jc w:val="center"/>
              <w:rPr>
                <w:rFonts w:cs="Calibri"/>
                <w:lang w:eastAsia="en-IN"/>
              </w:rPr>
            </w:pPr>
            <w:r w:rsidRPr="005B20F3">
              <w:rPr>
                <w:rFonts w:ascii="Bookman Old Style" w:hAnsi="Bookman Old Style" w:cs="Calibri"/>
                <w:b/>
                <w:bCs/>
                <w:szCs w:val="24"/>
                <w:lang w:eastAsia="en-IN"/>
              </w:rPr>
              <w:t>Cumulative Progress (Nos.)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1ACE" w:rsidRPr="003441DD" w:rsidRDefault="00381ACE" w:rsidP="00B71B0C">
            <w:pPr>
              <w:spacing w:after="0" w:line="360" w:lineRule="auto"/>
              <w:ind w:right="67"/>
              <w:jc w:val="center"/>
              <w:rPr>
                <w:rFonts w:cs="Calibri"/>
                <w:color w:val="FF0000"/>
                <w:lang w:eastAsia="en-IN"/>
              </w:rPr>
            </w:pPr>
            <w:r w:rsidRPr="00E02115">
              <w:rPr>
                <w:rFonts w:ascii="Bookman Old Style" w:hAnsi="Bookman Old Style" w:cs="Calibri"/>
                <w:b/>
                <w:bCs/>
                <w:color w:val="000000" w:themeColor="text1"/>
                <w:szCs w:val="24"/>
                <w:lang w:eastAsia="en-IN"/>
              </w:rPr>
              <w:t>Energy Savings in MUs</w:t>
            </w:r>
          </w:p>
        </w:tc>
      </w:tr>
      <w:tr w:rsidR="00381ACE" w:rsidRPr="003441DD" w:rsidTr="0071396F">
        <w:trPr>
          <w:trHeight w:val="449"/>
          <w:jc w:val="center"/>
        </w:trPr>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1ACE" w:rsidRPr="005B20F3" w:rsidRDefault="00381ACE" w:rsidP="0071396F">
            <w:pPr>
              <w:spacing w:after="0" w:line="240" w:lineRule="auto"/>
              <w:ind w:right="67"/>
              <w:rPr>
                <w:rFonts w:cs="Calibri"/>
                <w:lang w:eastAsia="en-IN"/>
              </w:rPr>
            </w:pPr>
            <w:r w:rsidRPr="005B20F3">
              <w:rPr>
                <w:rFonts w:ascii="Bookman Old Style" w:hAnsi="Bookman Old Style" w:cs="Calibri"/>
                <w:szCs w:val="24"/>
                <w:lang w:eastAsia="en-IN"/>
              </w:rPr>
              <w:t>9W LED bulbs (December-2015 to September -2020)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1ACE" w:rsidRDefault="00381ACE" w:rsidP="00B71B0C">
            <w:pPr>
              <w:spacing w:after="0" w:line="360" w:lineRule="auto"/>
              <w:ind w:right="67"/>
              <w:jc w:val="right"/>
              <w:rPr>
                <w:rFonts w:ascii="Bookman Old Style" w:hAnsi="Bookman Old Style" w:cs="Arial"/>
                <w:color w:val="000000"/>
                <w:sz w:val="24"/>
                <w:szCs w:val="24"/>
              </w:rPr>
            </w:pPr>
            <w:r>
              <w:rPr>
                <w:rFonts w:ascii="Bookman Old Style" w:hAnsi="Bookman Old Style" w:cs="Arial"/>
                <w:color w:val="000000"/>
              </w:rPr>
              <w:t>1,11,79,681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1ACE" w:rsidRDefault="00381ACE" w:rsidP="00B71B0C">
            <w:pPr>
              <w:spacing w:line="360" w:lineRule="auto"/>
              <w:ind w:right="67"/>
              <w:jc w:val="right"/>
              <w:rPr>
                <w:rFonts w:ascii="Bookman Old Style" w:hAnsi="Bookman Old Style" w:cs="Arial"/>
                <w:color w:val="000000"/>
              </w:rPr>
            </w:pPr>
            <w:r>
              <w:rPr>
                <w:rFonts w:ascii="Bookman Old Style" w:hAnsi="Bookman Old Style" w:cs="Arial"/>
                <w:color w:val="000000"/>
              </w:rPr>
              <w:t>595.79</w:t>
            </w:r>
          </w:p>
        </w:tc>
      </w:tr>
      <w:tr w:rsidR="00381ACE" w:rsidRPr="003441DD" w:rsidTr="0071396F">
        <w:trPr>
          <w:trHeight w:val="436"/>
          <w:jc w:val="center"/>
        </w:trPr>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1ACE" w:rsidRPr="005B20F3" w:rsidRDefault="00381ACE" w:rsidP="0071396F">
            <w:pPr>
              <w:spacing w:after="0" w:line="240" w:lineRule="auto"/>
              <w:ind w:right="67"/>
              <w:rPr>
                <w:rFonts w:cs="Calibri"/>
                <w:lang w:eastAsia="en-IN"/>
              </w:rPr>
            </w:pPr>
            <w:r w:rsidRPr="005B20F3">
              <w:rPr>
                <w:rFonts w:ascii="Bookman Old Style" w:hAnsi="Bookman Old Style" w:cs="Calibri"/>
                <w:szCs w:val="24"/>
                <w:lang w:eastAsia="en-IN"/>
              </w:rPr>
              <w:t>20W LED tube lights (January-2017 to September -2020)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1ACE" w:rsidRDefault="00381ACE" w:rsidP="00B71B0C">
            <w:pPr>
              <w:spacing w:after="0" w:line="360" w:lineRule="auto"/>
              <w:ind w:right="67"/>
              <w:jc w:val="right"/>
              <w:rPr>
                <w:rFonts w:ascii="Bookman Old Style" w:hAnsi="Bookman Old Style" w:cs="Arial"/>
                <w:color w:val="000000"/>
                <w:sz w:val="24"/>
                <w:szCs w:val="24"/>
              </w:rPr>
            </w:pPr>
            <w:r>
              <w:rPr>
                <w:rFonts w:ascii="Bookman Old Style" w:hAnsi="Bookman Old Style" w:cs="Arial"/>
                <w:color w:val="000000"/>
              </w:rPr>
              <w:t>2,73,454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1ACE" w:rsidRDefault="00381ACE" w:rsidP="00B71B0C">
            <w:pPr>
              <w:spacing w:line="360" w:lineRule="auto"/>
              <w:ind w:right="67"/>
              <w:jc w:val="right"/>
              <w:rPr>
                <w:rFonts w:ascii="Bookman Old Style" w:hAnsi="Bookman Old Style" w:cs="Arial"/>
                <w:color w:val="000000"/>
              </w:rPr>
            </w:pPr>
            <w:r>
              <w:rPr>
                <w:rFonts w:ascii="Bookman Old Style" w:hAnsi="Bookman Old Style" w:cs="Arial"/>
                <w:color w:val="000000"/>
              </w:rPr>
              <w:t>15.72</w:t>
            </w:r>
          </w:p>
        </w:tc>
      </w:tr>
      <w:tr w:rsidR="00381ACE" w:rsidRPr="003441DD" w:rsidTr="0071396F">
        <w:trPr>
          <w:trHeight w:val="436"/>
          <w:jc w:val="center"/>
        </w:trPr>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1ACE" w:rsidRPr="005B20F3" w:rsidRDefault="00381ACE" w:rsidP="0071396F">
            <w:pPr>
              <w:spacing w:after="0" w:line="240" w:lineRule="auto"/>
              <w:ind w:right="67"/>
              <w:rPr>
                <w:rFonts w:cs="Calibri"/>
                <w:lang w:eastAsia="en-IN"/>
              </w:rPr>
            </w:pPr>
            <w:r w:rsidRPr="005B20F3">
              <w:rPr>
                <w:rFonts w:ascii="Bookman Old Style" w:hAnsi="Bookman Old Style" w:cs="Calibri"/>
                <w:szCs w:val="24"/>
                <w:lang w:eastAsia="en-IN"/>
              </w:rPr>
              <w:t>BEE 5 star rated Ceiling fans (April-2017 to September -2020)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1ACE" w:rsidRDefault="00381ACE" w:rsidP="00B71B0C">
            <w:pPr>
              <w:spacing w:after="0" w:line="360" w:lineRule="auto"/>
              <w:ind w:right="67"/>
              <w:jc w:val="right"/>
              <w:rPr>
                <w:rFonts w:ascii="Bookman Old Style" w:hAnsi="Bookman Old Style" w:cs="Arial"/>
                <w:color w:val="000000"/>
                <w:sz w:val="24"/>
                <w:szCs w:val="24"/>
              </w:rPr>
            </w:pPr>
            <w:r>
              <w:rPr>
                <w:rFonts w:ascii="Bookman Old Style" w:hAnsi="Bookman Old Style" w:cs="Arial"/>
                <w:color w:val="000000"/>
              </w:rPr>
              <w:t>41,757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1ACE" w:rsidRDefault="00381ACE" w:rsidP="00B71B0C">
            <w:pPr>
              <w:spacing w:line="360" w:lineRule="auto"/>
              <w:ind w:right="67"/>
              <w:jc w:val="right"/>
              <w:rPr>
                <w:rFonts w:ascii="Bookman Old Style" w:hAnsi="Bookman Old Style" w:cs="Arial"/>
                <w:color w:val="000000"/>
              </w:rPr>
            </w:pPr>
            <w:r>
              <w:rPr>
                <w:rFonts w:ascii="Bookman Old Style" w:hAnsi="Bookman Old Style" w:cs="Arial"/>
                <w:color w:val="000000"/>
              </w:rPr>
              <w:t>2.08</w:t>
            </w:r>
          </w:p>
        </w:tc>
      </w:tr>
    </w:tbl>
    <w:p w:rsidR="00381ACE" w:rsidRPr="00013130" w:rsidRDefault="00381ACE" w:rsidP="00717D3E">
      <w:pPr>
        <w:spacing w:line="360" w:lineRule="auto"/>
        <w:ind w:right="67"/>
        <w:jc w:val="both"/>
        <w:rPr>
          <w:rFonts w:ascii="Bookman Old Style" w:eastAsiaTheme="minorEastAsia" w:hAnsi="Bookman Old Style" w:cs="Arial"/>
          <w:sz w:val="2"/>
        </w:rPr>
      </w:pPr>
    </w:p>
    <w:p w:rsidR="00381ACE" w:rsidRDefault="00381ACE" w:rsidP="00B71B0C">
      <w:pPr>
        <w:spacing w:line="240" w:lineRule="auto"/>
        <w:ind w:right="67"/>
        <w:jc w:val="both"/>
        <w:rPr>
          <w:rFonts w:ascii="Bookman Old Style" w:eastAsiaTheme="minorEastAsia" w:hAnsi="Bookman Old Style" w:cs="Arial"/>
        </w:rPr>
      </w:pPr>
      <w:r>
        <w:rPr>
          <w:rFonts w:ascii="Bookman Old Style" w:eastAsiaTheme="minorEastAsia" w:hAnsi="Bookman Old Style" w:cs="Arial"/>
        </w:rPr>
        <w:t>Solar water heater:</w:t>
      </w:r>
    </w:p>
    <w:p w:rsidR="00381ACE" w:rsidRPr="00E02115" w:rsidRDefault="00381ACE" w:rsidP="00B71B0C">
      <w:pPr>
        <w:spacing w:line="240" w:lineRule="auto"/>
        <w:ind w:right="67"/>
        <w:jc w:val="both"/>
        <w:rPr>
          <w:rFonts w:ascii="Bookman Old Style" w:eastAsiaTheme="minorEastAsia" w:hAnsi="Bookman Old Style" w:cs="Arial"/>
          <w:color w:val="000000" w:themeColor="text1"/>
        </w:rPr>
      </w:pPr>
      <w:r w:rsidRPr="00E02115">
        <w:rPr>
          <w:rFonts w:ascii="Bookman Old Style" w:eastAsiaTheme="minorEastAsia" w:hAnsi="Bookman Old Style" w:cs="Arial"/>
          <w:color w:val="000000" w:themeColor="text1"/>
        </w:rPr>
        <w:t xml:space="preserve">Total SWH installed from </w:t>
      </w:r>
      <w:r w:rsidRPr="00E02115">
        <w:rPr>
          <w:rFonts w:ascii="Bookman Old Style" w:hAnsi="Bookman Old Style"/>
          <w:color w:val="000000" w:themeColor="text1"/>
          <w:shd w:val="clear" w:color="auto" w:fill="FFFFFF"/>
        </w:rPr>
        <w:t>December-2007 to September-2020</w:t>
      </w:r>
      <w:r w:rsidRPr="00E02115">
        <w:rPr>
          <w:rFonts w:ascii="Bookman Old Style" w:eastAsiaTheme="minorEastAsia" w:hAnsi="Bookman Old Style" w:cs="Arial"/>
          <w:color w:val="000000" w:themeColor="text1"/>
        </w:rPr>
        <w:t xml:space="preserve">:  </w:t>
      </w:r>
      <w:r w:rsidRPr="00E02115">
        <w:rPr>
          <w:rFonts w:ascii="Bookman Old Style" w:hAnsi="Bookman Old Style"/>
          <w:color w:val="000000" w:themeColor="text1"/>
          <w:shd w:val="clear" w:color="auto" w:fill="FFFFFF"/>
        </w:rPr>
        <w:t>7</w:t>
      </w:r>
      <w:r>
        <w:rPr>
          <w:rFonts w:ascii="Bookman Old Style" w:hAnsi="Bookman Old Style"/>
          <w:color w:val="000000" w:themeColor="text1"/>
          <w:shd w:val="clear" w:color="auto" w:fill="FFFFFF"/>
        </w:rPr>
        <w:t>,</w:t>
      </w:r>
      <w:r w:rsidRPr="00E02115">
        <w:rPr>
          <w:rFonts w:ascii="Bookman Old Style" w:hAnsi="Bookman Old Style"/>
          <w:color w:val="000000" w:themeColor="text1"/>
          <w:shd w:val="clear" w:color="auto" w:fill="FFFFFF"/>
        </w:rPr>
        <w:t>18</w:t>
      </w:r>
      <w:r>
        <w:rPr>
          <w:rFonts w:ascii="Bookman Old Style" w:hAnsi="Bookman Old Style"/>
          <w:color w:val="000000" w:themeColor="text1"/>
          <w:shd w:val="clear" w:color="auto" w:fill="FFFFFF"/>
        </w:rPr>
        <w:t>,</w:t>
      </w:r>
      <w:r w:rsidRPr="00E02115">
        <w:rPr>
          <w:rFonts w:ascii="Bookman Old Style" w:hAnsi="Bookman Old Style"/>
          <w:color w:val="000000" w:themeColor="text1"/>
          <w:shd w:val="clear" w:color="auto" w:fill="FFFFFF"/>
        </w:rPr>
        <w:t>603</w:t>
      </w:r>
    </w:p>
    <w:p w:rsidR="00381ACE" w:rsidRPr="00E02115" w:rsidRDefault="00381ACE" w:rsidP="00B71B0C">
      <w:pPr>
        <w:spacing w:after="0" w:line="240" w:lineRule="auto"/>
        <w:ind w:right="67"/>
        <w:jc w:val="both"/>
        <w:rPr>
          <w:rFonts w:ascii="Bookman Old Style" w:hAnsi="Bookman Old Style" w:cs="Arial"/>
          <w:color w:val="000000"/>
          <w:sz w:val="24"/>
          <w:szCs w:val="24"/>
          <w:lang w:eastAsia="en-IN"/>
        </w:rPr>
      </w:pPr>
      <w:r w:rsidRPr="00E02115">
        <w:rPr>
          <w:rFonts w:ascii="Bookman Old Style" w:eastAsiaTheme="minorEastAsia" w:hAnsi="Bookman Old Style" w:cs="Arial"/>
          <w:color w:val="000000" w:themeColor="text1"/>
        </w:rPr>
        <w:t xml:space="preserve">Annual energy savings in MU: </w:t>
      </w:r>
      <w:r w:rsidRPr="00E02115">
        <w:rPr>
          <w:rFonts w:ascii="Bookman Old Style" w:hAnsi="Bookman Old Style" w:cs="Arial"/>
          <w:color w:val="000000" w:themeColor="text1"/>
          <w:sz w:val="24"/>
          <w:szCs w:val="24"/>
          <w:lang w:eastAsia="en-IN"/>
        </w:rPr>
        <w:t>711.42</w:t>
      </w:r>
    </w:p>
    <w:p w:rsidR="00381ACE" w:rsidRPr="003441DD" w:rsidRDefault="00381ACE" w:rsidP="00B71B0C">
      <w:pPr>
        <w:spacing w:line="240" w:lineRule="auto"/>
        <w:ind w:right="67"/>
        <w:jc w:val="both"/>
        <w:rPr>
          <w:rFonts w:ascii="Bookman Old Style" w:eastAsiaTheme="minorEastAsia" w:hAnsi="Bookman Old Style" w:cs="Arial"/>
          <w:color w:val="FF0000"/>
        </w:rPr>
      </w:pPr>
    </w:p>
    <w:p w:rsidR="00381ACE" w:rsidRDefault="00381ACE" w:rsidP="00B71B0C">
      <w:pPr>
        <w:spacing w:line="360" w:lineRule="auto"/>
        <w:ind w:right="67"/>
        <w:jc w:val="both"/>
        <w:rPr>
          <w:rFonts w:ascii="Bookman Old Style" w:eastAsiaTheme="minorEastAsia" w:hAnsi="Bookman Old Style" w:cs="Arial"/>
        </w:rPr>
      </w:pPr>
      <w:r w:rsidRPr="00DF50D1">
        <w:rPr>
          <w:rFonts w:ascii="Bookman Old Style" w:eastAsiaTheme="minorEastAsia" w:hAnsi="Bookman Old Style" w:cs="Arial"/>
        </w:rPr>
        <w:t xml:space="preserve">The HT sales have continued to reduce further as HT consumers are exiting the BESCOM </w:t>
      </w:r>
      <w:r w:rsidRPr="005B20F3">
        <w:rPr>
          <w:rFonts w:ascii="Bookman Old Style" w:eastAsiaTheme="minorEastAsia" w:hAnsi="Bookman Old Style" w:cs="Arial"/>
        </w:rPr>
        <w:t>network by opting for open access. For FY-20, 4604.2</w:t>
      </w:r>
      <w:r w:rsidR="0068707F">
        <w:rPr>
          <w:rFonts w:ascii="Bookman Old Style" w:eastAsiaTheme="minorEastAsia" w:hAnsi="Bookman Old Style" w:cs="Arial"/>
        </w:rPr>
        <w:t xml:space="preserve">8 </w:t>
      </w:r>
      <w:r w:rsidRPr="005B20F3">
        <w:rPr>
          <w:rFonts w:ascii="Bookman Old Style" w:eastAsiaTheme="minorEastAsia" w:hAnsi="Bookman Old Style" w:cs="Arial"/>
        </w:rPr>
        <w:t xml:space="preserve">MU is </w:t>
      </w:r>
      <w:r>
        <w:rPr>
          <w:rFonts w:ascii="Bookman Old Style" w:eastAsiaTheme="minorEastAsia" w:hAnsi="Bookman Old Style" w:cs="Arial"/>
        </w:rPr>
        <w:t>procured by HT consumers through wheeling/open access, captive/non-captive. Hence, there is a fall in HT consumption than the approved sales. The details of energy sales procured by HT consumers from BESCOM and energy sales procured by HT consumers from open access/wheeling for the years 2016-17, 2017-18, 2018-19 and 2019-20 are depicted in the table below:</w:t>
      </w:r>
    </w:p>
    <w:p w:rsidR="000B3921" w:rsidRPr="005E6471" w:rsidRDefault="000B3921" w:rsidP="000B3921">
      <w:pPr>
        <w:spacing w:line="360" w:lineRule="auto"/>
        <w:ind w:right="67"/>
        <w:jc w:val="center"/>
        <w:rPr>
          <w:rFonts w:ascii="Bookman Old Style" w:hAnsi="Bookman Old Style" w:cs="Calibri"/>
          <w:b/>
          <w:bCs/>
          <w:sz w:val="18"/>
          <w:lang w:eastAsia="en-IN"/>
        </w:rPr>
      </w:pPr>
      <w:r w:rsidRPr="005E6471">
        <w:rPr>
          <w:rFonts w:ascii="Bookman Old Style" w:hAnsi="Bookman Old Style" w:cs="Calibri"/>
          <w:b/>
          <w:bCs/>
          <w:sz w:val="18"/>
          <w:lang w:eastAsia="en-IN"/>
        </w:rPr>
        <w:t>Table 3.3</w:t>
      </w:r>
    </w:p>
    <w:tbl>
      <w:tblPr>
        <w:tblW w:w="9691" w:type="dxa"/>
        <w:jc w:val="center"/>
        <w:tblLook w:val="04A0" w:firstRow="1" w:lastRow="0" w:firstColumn="1" w:lastColumn="0" w:noHBand="0" w:noVBand="1"/>
      </w:tblPr>
      <w:tblGrid>
        <w:gridCol w:w="1322"/>
        <w:gridCol w:w="1323"/>
        <w:gridCol w:w="2204"/>
        <w:gridCol w:w="2640"/>
        <w:gridCol w:w="2202"/>
      </w:tblGrid>
      <w:tr w:rsidR="00381ACE" w:rsidRPr="005E6471" w:rsidTr="0071396F">
        <w:trPr>
          <w:trHeight w:val="118"/>
          <w:jc w:val="center"/>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5E6471" w:rsidRDefault="00381ACE" w:rsidP="00274169">
            <w:pPr>
              <w:spacing w:after="0" w:line="276" w:lineRule="auto"/>
              <w:ind w:right="67"/>
              <w:jc w:val="center"/>
              <w:rPr>
                <w:rFonts w:ascii="Bookman Old Style" w:hAnsi="Bookman Old Style" w:cs="Calibri"/>
                <w:b/>
                <w:color w:val="000000"/>
                <w:sz w:val="20"/>
                <w:lang w:eastAsia="en-IN"/>
              </w:rPr>
            </w:pPr>
            <w:r w:rsidRPr="005E6471">
              <w:rPr>
                <w:rFonts w:ascii="Bookman Old Style" w:hAnsi="Bookman Old Style" w:cs="Calibri"/>
                <w:b/>
                <w:color w:val="000000"/>
                <w:sz w:val="20"/>
                <w:lang w:eastAsia="en-IN"/>
              </w:rPr>
              <w:t>Year</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381ACE" w:rsidRPr="005E6471" w:rsidRDefault="00381ACE" w:rsidP="00274169">
            <w:pPr>
              <w:spacing w:after="0" w:line="276" w:lineRule="auto"/>
              <w:ind w:right="67"/>
              <w:jc w:val="center"/>
              <w:rPr>
                <w:rFonts w:ascii="Bookman Old Style" w:hAnsi="Bookman Old Style" w:cs="Calibri"/>
                <w:b/>
                <w:color w:val="000000"/>
                <w:sz w:val="20"/>
                <w:lang w:eastAsia="en-IN"/>
              </w:rPr>
            </w:pPr>
            <w:r w:rsidRPr="005E6471">
              <w:rPr>
                <w:rFonts w:ascii="Bookman Old Style" w:hAnsi="Bookman Old Style" w:cs="Calibri"/>
                <w:b/>
                <w:color w:val="000000"/>
                <w:sz w:val="20"/>
                <w:lang w:eastAsia="en-IN"/>
              </w:rPr>
              <w:t>Category</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381ACE" w:rsidRPr="005E6471" w:rsidRDefault="00381ACE" w:rsidP="00274169">
            <w:pPr>
              <w:spacing w:after="0" w:line="276" w:lineRule="auto"/>
              <w:ind w:right="67"/>
              <w:jc w:val="center"/>
              <w:rPr>
                <w:rFonts w:ascii="Bookman Old Style" w:hAnsi="Bookman Old Style" w:cs="Calibri"/>
                <w:b/>
                <w:color w:val="000000"/>
                <w:sz w:val="20"/>
                <w:lang w:eastAsia="en-IN"/>
              </w:rPr>
            </w:pPr>
            <w:r w:rsidRPr="005E6471">
              <w:rPr>
                <w:rFonts w:ascii="Bookman Old Style" w:hAnsi="Bookman Old Style" w:cs="Calibri"/>
                <w:b/>
                <w:color w:val="000000"/>
                <w:sz w:val="20"/>
                <w:lang w:eastAsia="en-IN"/>
              </w:rPr>
              <w:t>Energy Procured by HT consumers from BESCOM (MU)</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381ACE" w:rsidRPr="005E6471" w:rsidRDefault="00381ACE" w:rsidP="00213832">
            <w:pPr>
              <w:spacing w:after="0" w:line="276" w:lineRule="auto"/>
              <w:ind w:right="67"/>
              <w:jc w:val="center"/>
              <w:rPr>
                <w:rFonts w:ascii="Bookman Old Style" w:hAnsi="Bookman Old Style" w:cs="Calibri"/>
                <w:b/>
                <w:color w:val="000000"/>
                <w:sz w:val="20"/>
                <w:lang w:eastAsia="en-IN"/>
              </w:rPr>
            </w:pPr>
            <w:r w:rsidRPr="005E6471">
              <w:rPr>
                <w:rFonts w:ascii="Bookman Old Style" w:hAnsi="Bookman Old Style" w:cs="Calibri"/>
                <w:b/>
                <w:color w:val="000000"/>
                <w:sz w:val="20"/>
                <w:lang w:eastAsia="en-IN"/>
              </w:rPr>
              <w:t>Energy procured by HT consumers under Open access/</w:t>
            </w:r>
            <w:r w:rsidR="005E6471">
              <w:rPr>
                <w:rFonts w:ascii="Bookman Old Style" w:hAnsi="Bookman Old Style" w:cs="Calibri"/>
                <w:b/>
                <w:color w:val="000000"/>
                <w:sz w:val="20"/>
                <w:lang w:eastAsia="en-IN"/>
              </w:rPr>
              <w:t xml:space="preserve"> </w:t>
            </w:r>
            <w:r w:rsidRPr="005E6471">
              <w:rPr>
                <w:rFonts w:ascii="Bookman Old Style" w:hAnsi="Bookman Old Style" w:cs="Calibri"/>
                <w:b/>
                <w:color w:val="000000"/>
                <w:sz w:val="20"/>
                <w:lang w:eastAsia="en-IN"/>
              </w:rPr>
              <w:t>wheeling</w:t>
            </w:r>
            <w:r w:rsidR="000B0E8D" w:rsidRPr="005E6471">
              <w:rPr>
                <w:rFonts w:ascii="Bookman Old Style" w:hAnsi="Bookman Old Style" w:cs="Calibri"/>
                <w:b/>
                <w:color w:val="000000"/>
                <w:sz w:val="20"/>
                <w:lang w:eastAsia="en-IN"/>
              </w:rPr>
              <w:t xml:space="preserve"> </w:t>
            </w:r>
            <w:r w:rsidRPr="005E6471">
              <w:rPr>
                <w:rFonts w:ascii="Bookman Old Style" w:hAnsi="Bookman Old Style" w:cs="Calibri"/>
                <w:b/>
                <w:color w:val="000000"/>
                <w:sz w:val="20"/>
                <w:lang w:eastAsia="en-IN"/>
              </w:rPr>
              <w:t>(MU)</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381ACE" w:rsidRPr="005E6471" w:rsidRDefault="00381ACE" w:rsidP="0071396F">
            <w:pPr>
              <w:spacing w:after="0" w:line="276" w:lineRule="auto"/>
              <w:ind w:left="-55"/>
              <w:jc w:val="center"/>
              <w:rPr>
                <w:rFonts w:ascii="Bookman Old Style" w:hAnsi="Bookman Old Style" w:cs="Calibri"/>
                <w:b/>
                <w:color w:val="000000"/>
                <w:sz w:val="20"/>
                <w:lang w:eastAsia="en-IN"/>
              </w:rPr>
            </w:pPr>
            <w:r w:rsidRPr="005E6471">
              <w:rPr>
                <w:rFonts w:ascii="Bookman Old Style" w:hAnsi="Bookman Old Style" w:cs="Calibri"/>
                <w:b/>
                <w:color w:val="000000"/>
                <w:sz w:val="20"/>
                <w:lang w:eastAsia="en-IN"/>
              </w:rPr>
              <w:t>Total BESCOM sales &amp; OA/ wheeling consumption (MU)</w:t>
            </w:r>
          </w:p>
        </w:tc>
      </w:tr>
      <w:tr w:rsidR="00381ACE" w:rsidRPr="005E6471" w:rsidTr="0071396F">
        <w:trPr>
          <w:trHeight w:val="2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2016-17</w:t>
            </w:r>
          </w:p>
        </w:tc>
        <w:tc>
          <w:tcPr>
            <w:tcW w:w="1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1ACE" w:rsidRPr="005E6471" w:rsidRDefault="00381ACE" w:rsidP="00274169">
            <w:pPr>
              <w:spacing w:after="0" w:line="276" w:lineRule="auto"/>
              <w:ind w:right="67"/>
              <w:jc w:val="center"/>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HT-2A</w:t>
            </w:r>
          </w:p>
        </w:tc>
        <w:tc>
          <w:tcPr>
            <w:tcW w:w="2204"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4456.17</w:t>
            </w:r>
          </w:p>
        </w:tc>
        <w:tc>
          <w:tcPr>
            <w:tcW w:w="2640"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1962.38</w:t>
            </w:r>
          </w:p>
        </w:tc>
        <w:tc>
          <w:tcPr>
            <w:tcW w:w="2202"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6418.55</w:t>
            </w:r>
          </w:p>
        </w:tc>
      </w:tr>
      <w:tr w:rsidR="00381ACE" w:rsidRPr="005E6471" w:rsidTr="0071396F">
        <w:trPr>
          <w:trHeight w:val="2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2017-18</w:t>
            </w:r>
          </w:p>
        </w:tc>
        <w:tc>
          <w:tcPr>
            <w:tcW w:w="1323" w:type="dxa"/>
            <w:vMerge/>
            <w:tcBorders>
              <w:top w:val="nil"/>
              <w:left w:val="single" w:sz="4" w:space="0" w:color="auto"/>
              <w:bottom w:val="single" w:sz="4" w:space="0" w:color="auto"/>
              <w:right w:val="single" w:sz="4" w:space="0" w:color="auto"/>
            </w:tcBorders>
            <w:vAlign w:val="center"/>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p>
        </w:tc>
        <w:tc>
          <w:tcPr>
            <w:tcW w:w="2204"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4470.59</w:t>
            </w:r>
          </w:p>
        </w:tc>
        <w:tc>
          <w:tcPr>
            <w:tcW w:w="2640"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2557.85</w:t>
            </w:r>
          </w:p>
        </w:tc>
        <w:tc>
          <w:tcPr>
            <w:tcW w:w="2202"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7028.44</w:t>
            </w:r>
          </w:p>
        </w:tc>
      </w:tr>
      <w:tr w:rsidR="00381ACE" w:rsidRPr="005E6471" w:rsidTr="0071396F">
        <w:trPr>
          <w:trHeight w:val="2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2018-19</w:t>
            </w:r>
          </w:p>
        </w:tc>
        <w:tc>
          <w:tcPr>
            <w:tcW w:w="1323" w:type="dxa"/>
            <w:vMerge/>
            <w:tcBorders>
              <w:top w:val="nil"/>
              <w:left w:val="single" w:sz="4" w:space="0" w:color="auto"/>
              <w:bottom w:val="single" w:sz="4" w:space="0" w:color="auto"/>
              <w:right w:val="single" w:sz="4" w:space="0" w:color="auto"/>
            </w:tcBorders>
            <w:vAlign w:val="center"/>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p>
        </w:tc>
        <w:tc>
          <w:tcPr>
            <w:tcW w:w="2204"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4512.96</w:t>
            </w:r>
          </w:p>
        </w:tc>
        <w:tc>
          <w:tcPr>
            <w:tcW w:w="2640"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2639.87</w:t>
            </w:r>
          </w:p>
        </w:tc>
        <w:tc>
          <w:tcPr>
            <w:tcW w:w="2202"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7152.84</w:t>
            </w:r>
          </w:p>
        </w:tc>
      </w:tr>
      <w:tr w:rsidR="00381ACE" w:rsidRPr="005E6471" w:rsidTr="0071396F">
        <w:trPr>
          <w:trHeight w:val="2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2019-20</w:t>
            </w:r>
          </w:p>
        </w:tc>
        <w:tc>
          <w:tcPr>
            <w:tcW w:w="1323" w:type="dxa"/>
            <w:vMerge/>
            <w:tcBorders>
              <w:top w:val="nil"/>
              <w:left w:val="single" w:sz="4" w:space="0" w:color="auto"/>
              <w:bottom w:val="single" w:sz="4" w:space="0" w:color="auto"/>
              <w:right w:val="single" w:sz="4" w:space="0" w:color="auto"/>
            </w:tcBorders>
            <w:vAlign w:val="center"/>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p>
        </w:tc>
        <w:tc>
          <w:tcPr>
            <w:tcW w:w="2204"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4139.15</w:t>
            </w:r>
          </w:p>
        </w:tc>
        <w:tc>
          <w:tcPr>
            <w:tcW w:w="2640"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2765.90</w:t>
            </w:r>
          </w:p>
        </w:tc>
        <w:tc>
          <w:tcPr>
            <w:tcW w:w="2202"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6905.05</w:t>
            </w:r>
          </w:p>
        </w:tc>
      </w:tr>
      <w:tr w:rsidR="00381ACE" w:rsidRPr="005E6471" w:rsidTr="0071396F">
        <w:trPr>
          <w:trHeight w:val="2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2016-17</w:t>
            </w:r>
          </w:p>
        </w:tc>
        <w:tc>
          <w:tcPr>
            <w:tcW w:w="1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1ACE" w:rsidRPr="005E6471" w:rsidRDefault="00381ACE" w:rsidP="00274169">
            <w:pPr>
              <w:spacing w:after="0" w:line="276" w:lineRule="auto"/>
              <w:ind w:right="67"/>
              <w:jc w:val="center"/>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HT-2B</w:t>
            </w:r>
          </w:p>
        </w:tc>
        <w:tc>
          <w:tcPr>
            <w:tcW w:w="2204"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2619.62</w:t>
            </w:r>
          </w:p>
        </w:tc>
        <w:tc>
          <w:tcPr>
            <w:tcW w:w="2640"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997.88</w:t>
            </w:r>
          </w:p>
        </w:tc>
        <w:tc>
          <w:tcPr>
            <w:tcW w:w="2202"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3617.5</w:t>
            </w:r>
            <w:r w:rsidR="00702CCA">
              <w:rPr>
                <w:rFonts w:ascii="Bookman Old Style" w:hAnsi="Bookman Old Style" w:cs="Calibri"/>
                <w:color w:val="000000"/>
                <w:sz w:val="20"/>
                <w:lang w:eastAsia="en-IN"/>
              </w:rPr>
              <w:t>0</w:t>
            </w:r>
          </w:p>
        </w:tc>
      </w:tr>
      <w:tr w:rsidR="00381ACE" w:rsidRPr="005E6471" w:rsidTr="0071396F">
        <w:trPr>
          <w:trHeight w:val="2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2017-18</w:t>
            </w:r>
          </w:p>
        </w:tc>
        <w:tc>
          <w:tcPr>
            <w:tcW w:w="1323" w:type="dxa"/>
            <w:vMerge/>
            <w:tcBorders>
              <w:top w:val="nil"/>
              <w:left w:val="single" w:sz="4" w:space="0" w:color="auto"/>
              <w:bottom w:val="single" w:sz="4" w:space="0" w:color="auto"/>
              <w:right w:val="single" w:sz="4" w:space="0" w:color="auto"/>
            </w:tcBorders>
            <w:vAlign w:val="center"/>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p>
        </w:tc>
        <w:tc>
          <w:tcPr>
            <w:tcW w:w="2204"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2562.32</w:t>
            </w:r>
          </w:p>
        </w:tc>
        <w:tc>
          <w:tcPr>
            <w:tcW w:w="2640"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945.57</w:t>
            </w:r>
          </w:p>
        </w:tc>
        <w:tc>
          <w:tcPr>
            <w:tcW w:w="2202"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3507.89</w:t>
            </w:r>
          </w:p>
        </w:tc>
      </w:tr>
      <w:tr w:rsidR="00381ACE" w:rsidRPr="005E6471" w:rsidTr="0071396F">
        <w:trPr>
          <w:trHeight w:val="2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2018-19</w:t>
            </w:r>
          </w:p>
        </w:tc>
        <w:tc>
          <w:tcPr>
            <w:tcW w:w="1323" w:type="dxa"/>
            <w:vMerge/>
            <w:tcBorders>
              <w:top w:val="nil"/>
              <w:left w:val="single" w:sz="4" w:space="0" w:color="auto"/>
              <w:bottom w:val="single" w:sz="4" w:space="0" w:color="auto"/>
              <w:right w:val="single" w:sz="4" w:space="0" w:color="auto"/>
            </w:tcBorders>
            <w:vAlign w:val="center"/>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p>
        </w:tc>
        <w:tc>
          <w:tcPr>
            <w:tcW w:w="2204"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2448.41</w:t>
            </w:r>
          </w:p>
        </w:tc>
        <w:tc>
          <w:tcPr>
            <w:tcW w:w="2640"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1551.3</w:t>
            </w:r>
          </w:p>
        </w:tc>
        <w:tc>
          <w:tcPr>
            <w:tcW w:w="2202"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3999.71</w:t>
            </w:r>
          </w:p>
        </w:tc>
      </w:tr>
      <w:tr w:rsidR="00381ACE" w:rsidRPr="005E6471" w:rsidTr="0071396F">
        <w:trPr>
          <w:trHeight w:val="2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2019-20</w:t>
            </w:r>
          </w:p>
        </w:tc>
        <w:tc>
          <w:tcPr>
            <w:tcW w:w="1323" w:type="dxa"/>
            <w:vMerge/>
            <w:tcBorders>
              <w:top w:val="nil"/>
              <w:left w:val="single" w:sz="4" w:space="0" w:color="auto"/>
              <w:bottom w:val="single" w:sz="4" w:space="0" w:color="auto"/>
              <w:right w:val="single" w:sz="4" w:space="0" w:color="auto"/>
            </w:tcBorders>
            <w:vAlign w:val="center"/>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p>
        </w:tc>
        <w:tc>
          <w:tcPr>
            <w:tcW w:w="2204"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2345.62</w:t>
            </w:r>
          </w:p>
        </w:tc>
        <w:tc>
          <w:tcPr>
            <w:tcW w:w="2640"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1758.64</w:t>
            </w:r>
          </w:p>
        </w:tc>
        <w:tc>
          <w:tcPr>
            <w:tcW w:w="2202"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4104.26</w:t>
            </w:r>
          </w:p>
        </w:tc>
      </w:tr>
      <w:tr w:rsidR="00381ACE" w:rsidRPr="005E6471" w:rsidTr="0071396F">
        <w:trPr>
          <w:trHeight w:val="2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2016-17</w:t>
            </w:r>
          </w:p>
        </w:tc>
        <w:tc>
          <w:tcPr>
            <w:tcW w:w="1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1ACE" w:rsidRPr="005E6471" w:rsidRDefault="00381ACE" w:rsidP="00274169">
            <w:pPr>
              <w:spacing w:after="0" w:line="276" w:lineRule="auto"/>
              <w:ind w:right="67"/>
              <w:jc w:val="center"/>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HT-2C</w:t>
            </w:r>
          </w:p>
        </w:tc>
        <w:tc>
          <w:tcPr>
            <w:tcW w:w="2204"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270.05</w:t>
            </w:r>
          </w:p>
        </w:tc>
        <w:tc>
          <w:tcPr>
            <w:tcW w:w="2640"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43.89</w:t>
            </w:r>
          </w:p>
        </w:tc>
        <w:tc>
          <w:tcPr>
            <w:tcW w:w="2202"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313.94</w:t>
            </w:r>
          </w:p>
        </w:tc>
      </w:tr>
      <w:tr w:rsidR="00381ACE" w:rsidRPr="005E6471" w:rsidTr="0071396F">
        <w:trPr>
          <w:trHeight w:val="2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2017-18</w:t>
            </w:r>
          </w:p>
        </w:tc>
        <w:tc>
          <w:tcPr>
            <w:tcW w:w="1323" w:type="dxa"/>
            <w:vMerge/>
            <w:tcBorders>
              <w:top w:val="nil"/>
              <w:left w:val="single" w:sz="4" w:space="0" w:color="auto"/>
              <w:bottom w:val="single" w:sz="4" w:space="0" w:color="auto"/>
              <w:right w:val="single" w:sz="4" w:space="0" w:color="auto"/>
            </w:tcBorders>
            <w:vAlign w:val="center"/>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p>
        </w:tc>
        <w:tc>
          <w:tcPr>
            <w:tcW w:w="2204"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312.39</w:t>
            </w:r>
          </w:p>
        </w:tc>
        <w:tc>
          <w:tcPr>
            <w:tcW w:w="2640"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50.27</w:t>
            </w:r>
          </w:p>
        </w:tc>
        <w:tc>
          <w:tcPr>
            <w:tcW w:w="2202"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362.66</w:t>
            </w:r>
          </w:p>
        </w:tc>
      </w:tr>
      <w:tr w:rsidR="00381ACE" w:rsidRPr="005E6471" w:rsidTr="0071396F">
        <w:trPr>
          <w:trHeight w:val="2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2018-19</w:t>
            </w:r>
          </w:p>
        </w:tc>
        <w:tc>
          <w:tcPr>
            <w:tcW w:w="1323" w:type="dxa"/>
            <w:vMerge/>
            <w:tcBorders>
              <w:top w:val="nil"/>
              <w:left w:val="single" w:sz="4" w:space="0" w:color="auto"/>
              <w:bottom w:val="single" w:sz="4" w:space="0" w:color="auto"/>
              <w:right w:val="single" w:sz="4" w:space="0" w:color="auto"/>
            </w:tcBorders>
            <w:vAlign w:val="center"/>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p>
        </w:tc>
        <w:tc>
          <w:tcPr>
            <w:tcW w:w="2204"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321.45</w:t>
            </w:r>
          </w:p>
        </w:tc>
        <w:tc>
          <w:tcPr>
            <w:tcW w:w="2640"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68.81</w:t>
            </w:r>
          </w:p>
        </w:tc>
        <w:tc>
          <w:tcPr>
            <w:tcW w:w="2202"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390.26</w:t>
            </w:r>
          </w:p>
        </w:tc>
      </w:tr>
      <w:tr w:rsidR="00381ACE" w:rsidRPr="005E6471" w:rsidTr="0071396F">
        <w:trPr>
          <w:trHeight w:val="2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2019-20</w:t>
            </w:r>
          </w:p>
        </w:tc>
        <w:tc>
          <w:tcPr>
            <w:tcW w:w="1323" w:type="dxa"/>
            <w:vMerge/>
            <w:tcBorders>
              <w:top w:val="nil"/>
              <w:left w:val="single" w:sz="4" w:space="0" w:color="auto"/>
              <w:bottom w:val="single" w:sz="4" w:space="0" w:color="auto"/>
              <w:right w:val="single" w:sz="4" w:space="0" w:color="auto"/>
            </w:tcBorders>
            <w:vAlign w:val="center"/>
            <w:hideMark/>
          </w:tcPr>
          <w:p w:rsidR="00381ACE" w:rsidRPr="005E6471" w:rsidRDefault="00381ACE" w:rsidP="00274169">
            <w:pPr>
              <w:spacing w:after="0" w:line="276" w:lineRule="auto"/>
              <w:ind w:right="67"/>
              <w:rPr>
                <w:rFonts w:ascii="Bookman Old Style" w:hAnsi="Bookman Old Style" w:cs="Calibri"/>
                <w:color w:val="000000"/>
                <w:sz w:val="20"/>
                <w:lang w:eastAsia="en-IN"/>
              </w:rPr>
            </w:pPr>
          </w:p>
        </w:tc>
        <w:tc>
          <w:tcPr>
            <w:tcW w:w="2204"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331.51</w:t>
            </w:r>
          </w:p>
        </w:tc>
        <w:tc>
          <w:tcPr>
            <w:tcW w:w="2640"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79.74</w:t>
            </w:r>
          </w:p>
        </w:tc>
        <w:tc>
          <w:tcPr>
            <w:tcW w:w="2202" w:type="dxa"/>
            <w:tcBorders>
              <w:top w:val="nil"/>
              <w:left w:val="nil"/>
              <w:bottom w:val="single" w:sz="4" w:space="0" w:color="auto"/>
              <w:right w:val="single" w:sz="4" w:space="0" w:color="auto"/>
            </w:tcBorders>
            <w:shd w:val="clear" w:color="auto" w:fill="auto"/>
            <w:noWrap/>
            <w:vAlign w:val="bottom"/>
            <w:hideMark/>
          </w:tcPr>
          <w:p w:rsidR="00381ACE" w:rsidRPr="005E6471" w:rsidRDefault="00381ACE" w:rsidP="00274169">
            <w:pPr>
              <w:spacing w:after="0" w:line="276" w:lineRule="auto"/>
              <w:ind w:right="67"/>
              <w:jc w:val="right"/>
              <w:rPr>
                <w:rFonts w:ascii="Bookman Old Style" w:hAnsi="Bookman Old Style" w:cs="Calibri"/>
                <w:color w:val="000000"/>
                <w:sz w:val="20"/>
                <w:lang w:eastAsia="en-IN"/>
              </w:rPr>
            </w:pPr>
            <w:r w:rsidRPr="005E6471">
              <w:rPr>
                <w:rFonts w:ascii="Bookman Old Style" w:hAnsi="Bookman Old Style" w:cs="Calibri"/>
                <w:color w:val="000000"/>
                <w:sz w:val="20"/>
                <w:lang w:eastAsia="en-IN"/>
              </w:rPr>
              <w:t>411.25</w:t>
            </w:r>
          </w:p>
        </w:tc>
      </w:tr>
    </w:tbl>
    <w:p w:rsidR="00381ACE" w:rsidRDefault="00381ACE" w:rsidP="00717D3E">
      <w:pPr>
        <w:spacing w:line="360" w:lineRule="auto"/>
        <w:ind w:right="67"/>
        <w:jc w:val="both"/>
        <w:rPr>
          <w:rFonts w:ascii="Bookman Old Style" w:eastAsiaTheme="minorEastAsia" w:hAnsi="Bookman Old Style" w:cs="Arial"/>
        </w:rPr>
      </w:pPr>
      <w:r w:rsidRPr="00DF50D1">
        <w:rPr>
          <w:rFonts w:ascii="Bookman Old Style" w:eastAsiaTheme="minorEastAsia" w:hAnsi="Bookman Old Style" w:cs="Arial"/>
        </w:rPr>
        <w:lastRenderedPageBreak/>
        <w:t xml:space="preserve">The major increase in </w:t>
      </w:r>
      <w:r>
        <w:rPr>
          <w:rFonts w:ascii="Bookman Old Style" w:eastAsiaTheme="minorEastAsia" w:hAnsi="Bookman Old Style" w:cs="Arial"/>
        </w:rPr>
        <w:t xml:space="preserve">actual </w:t>
      </w:r>
      <w:r w:rsidRPr="00DF50D1">
        <w:rPr>
          <w:rFonts w:ascii="Bookman Old Style" w:eastAsiaTheme="minorEastAsia" w:hAnsi="Bookman Old Style" w:cs="Arial"/>
        </w:rPr>
        <w:t xml:space="preserve">sales </w:t>
      </w:r>
      <w:r>
        <w:rPr>
          <w:rFonts w:ascii="Bookman Old Style" w:eastAsiaTheme="minorEastAsia" w:hAnsi="Bookman Old Style" w:cs="Arial"/>
        </w:rPr>
        <w:t xml:space="preserve">over the approved sales </w:t>
      </w:r>
      <w:r w:rsidRPr="00DF50D1">
        <w:rPr>
          <w:rFonts w:ascii="Bookman Old Style" w:eastAsiaTheme="minorEastAsia" w:hAnsi="Bookman Old Style" w:cs="Arial"/>
        </w:rPr>
        <w:t xml:space="preserve">is found in LT </w:t>
      </w:r>
      <w:r>
        <w:rPr>
          <w:rFonts w:ascii="Bookman Old Style" w:eastAsiaTheme="minorEastAsia" w:hAnsi="Bookman Old Style" w:cs="Arial"/>
        </w:rPr>
        <w:t>temporary</w:t>
      </w:r>
      <w:r w:rsidRPr="00DF50D1">
        <w:rPr>
          <w:rFonts w:ascii="Bookman Old Style" w:eastAsiaTheme="minorEastAsia" w:hAnsi="Bookman Old Style" w:cs="Arial"/>
        </w:rPr>
        <w:t xml:space="preserve">, </w:t>
      </w:r>
      <w:r>
        <w:rPr>
          <w:rFonts w:ascii="Bookman Old Style" w:eastAsiaTheme="minorEastAsia" w:hAnsi="Bookman Old Style" w:cs="Arial"/>
        </w:rPr>
        <w:t>HT Water Supply and LT</w:t>
      </w:r>
      <w:r w:rsidR="00213832">
        <w:rPr>
          <w:rFonts w:ascii="Bookman Old Style" w:eastAsiaTheme="minorEastAsia" w:hAnsi="Bookman Old Style" w:cs="Arial"/>
        </w:rPr>
        <w:t>-</w:t>
      </w:r>
      <w:r>
        <w:rPr>
          <w:rFonts w:ascii="Bookman Old Style" w:eastAsiaTheme="minorEastAsia" w:hAnsi="Bookman Old Style" w:cs="Arial"/>
        </w:rPr>
        <w:t xml:space="preserve">4 </w:t>
      </w:r>
      <w:r w:rsidRPr="00DF50D1">
        <w:rPr>
          <w:rFonts w:ascii="Bookman Old Style" w:eastAsiaTheme="minorEastAsia" w:hAnsi="Bookman Old Style" w:cs="Arial"/>
        </w:rPr>
        <w:t>– agricultural sales.</w:t>
      </w:r>
      <w:r>
        <w:rPr>
          <w:rFonts w:ascii="Bookman Old Style" w:eastAsiaTheme="minorEastAsia" w:hAnsi="Bookman Old Style" w:cs="Arial"/>
        </w:rPr>
        <w:t xml:space="preserve"> </w:t>
      </w:r>
    </w:p>
    <w:p w:rsidR="00381ACE" w:rsidRDefault="00381ACE" w:rsidP="00717D3E">
      <w:pPr>
        <w:spacing w:line="360" w:lineRule="auto"/>
        <w:ind w:right="67"/>
        <w:jc w:val="both"/>
        <w:rPr>
          <w:rFonts w:ascii="Bookman Old Style" w:eastAsiaTheme="minorEastAsia" w:hAnsi="Bookman Old Style" w:cs="Arial"/>
        </w:rPr>
      </w:pPr>
      <w:r>
        <w:rPr>
          <w:rFonts w:ascii="Bookman Old Style" w:eastAsiaTheme="minorEastAsia" w:hAnsi="Bookman Old Style" w:cs="Arial"/>
        </w:rPr>
        <w:t>For FY-20</w:t>
      </w:r>
      <w:r w:rsidRPr="00BB5969">
        <w:rPr>
          <w:rFonts w:ascii="Bookman Old Style" w:eastAsiaTheme="minorEastAsia" w:hAnsi="Bookman Old Style" w:cs="Arial"/>
        </w:rPr>
        <w:t xml:space="preserve">, actual specific consumption </w:t>
      </w:r>
      <w:r>
        <w:rPr>
          <w:rFonts w:ascii="Bookman Old Style" w:eastAsiaTheme="minorEastAsia" w:hAnsi="Bookman Old Style" w:cs="Arial"/>
        </w:rPr>
        <w:t>for</w:t>
      </w:r>
      <w:r w:rsidRPr="00BB5969">
        <w:rPr>
          <w:rFonts w:ascii="Bookman Old Style" w:eastAsiaTheme="minorEastAsia" w:hAnsi="Bookman Old Style" w:cs="Arial"/>
        </w:rPr>
        <w:t xml:space="preserve"> IP </w:t>
      </w:r>
      <w:r>
        <w:rPr>
          <w:rFonts w:ascii="Bookman Old Style" w:eastAsiaTheme="minorEastAsia" w:hAnsi="Bookman Old Style" w:cs="Arial"/>
        </w:rPr>
        <w:t>set</w:t>
      </w:r>
      <w:r w:rsidRPr="00BB5969">
        <w:rPr>
          <w:rFonts w:ascii="Bookman Old Style" w:eastAsiaTheme="minorEastAsia" w:hAnsi="Bookman Old Style" w:cs="Arial"/>
        </w:rPr>
        <w:t xml:space="preserve"> is </w:t>
      </w:r>
      <w:r>
        <w:rPr>
          <w:rFonts w:ascii="Bookman Old Style" w:eastAsiaTheme="minorEastAsia" w:hAnsi="Bookman Old Style" w:cs="Arial"/>
        </w:rPr>
        <w:t xml:space="preserve">7524 units/IP/annum as against the </w:t>
      </w:r>
      <w:r w:rsidRPr="00BB5969">
        <w:rPr>
          <w:rFonts w:ascii="Bookman Old Style" w:eastAsiaTheme="minorEastAsia" w:hAnsi="Bookman Old Style" w:cs="Arial"/>
        </w:rPr>
        <w:t xml:space="preserve">approved specific consumption </w:t>
      </w:r>
      <w:r>
        <w:rPr>
          <w:rFonts w:ascii="Bookman Old Style" w:eastAsiaTheme="minorEastAsia" w:hAnsi="Bookman Old Style" w:cs="Arial"/>
        </w:rPr>
        <w:t>of</w:t>
      </w:r>
      <w:r w:rsidRPr="00BB5969">
        <w:rPr>
          <w:rFonts w:ascii="Bookman Old Style" w:eastAsiaTheme="minorEastAsia" w:hAnsi="Bookman Old Style" w:cs="Arial"/>
        </w:rPr>
        <w:t xml:space="preserve"> </w:t>
      </w:r>
      <w:r>
        <w:rPr>
          <w:rFonts w:ascii="Bookman Old Style" w:eastAsiaTheme="minorEastAsia" w:hAnsi="Bookman Old Style" w:cs="Arial"/>
        </w:rPr>
        <w:t>7260</w:t>
      </w:r>
      <w:r w:rsidRPr="00BB5969">
        <w:rPr>
          <w:rFonts w:ascii="Bookman Old Style" w:eastAsiaTheme="minorEastAsia" w:hAnsi="Bookman Old Style" w:cs="Arial"/>
        </w:rPr>
        <w:t xml:space="preserve"> units/IP/annum, the difference being </w:t>
      </w:r>
      <w:r>
        <w:rPr>
          <w:rFonts w:ascii="Bookman Old Style" w:eastAsiaTheme="minorEastAsia" w:hAnsi="Bookman Old Style" w:cs="Arial"/>
        </w:rPr>
        <w:t>264</w:t>
      </w:r>
      <w:r w:rsidRPr="00BB5969">
        <w:rPr>
          <w:rFonts w:ascii="Bookman Old Style" w:eastAsiaTheme="minorEastAsia" w:hAnsi="Bookman Old Style" w:cs="Arial"/>
        </w:rPr>
        <w:t xml:space="preserve"> units/IP/annum</w:t>
      </w:r>
      <w:r w:rsidRPr="00DF50D1">
        <w:rPr>
          <w:rFonts w:ascii="Bookman Old Style" w:eastAsiaTheme="minorEastAsia" w:hAnsi="Bookman Old Style" w:cs="Arial"/>
        </w:rPr>
        <w:t>.</w:t>
      </w:r>
      <w:r>
        <w:rPr>
          <w:rFonts w:ascii="Bookman Old Style" w:eastAsiaTheme="minorEastAsia" w:hAnsi="Bookman Old Style" w:cs="Arial"/>
        </w:rPr>
        <w:t xml:space="preserve"> </w:t>
      </w:r>
    </w:p>
    <w:p w:rsidR="000B3921" w:rsidRPr="00825264" w:rsidRDefault="000B3921" w:rsidP="000B3921">
      <w:pPr>
        <w:spacing w:line="360" w:lineRule="auto"/>
        <w:ind w:right="67"/>
        <w:jc w:val="center"/>
        <w:rPr>
          <w:rFonts w:ascii="Bookman Old Style" w:hAnsi="Bookman Old Style" w:cs="Calibri"/>
          <w:b/>
          <w:bCs/>
          <w:sz w:val="18"/>
          <w:lang w:eastAsia="en-IN"/>
        </w:rPr>
      </w:pPr>
      <w:r w:rsidRPr="00825264">
        <w:rPr>
          <w:rFonts w:ascii="Bookman Old Style" w:hAnsi="Bookman Old Style" w:cs="Calibri"/>
          <w:b/>
          <w:bCs/>
          <w:sz w:val="18"/>
          <w:lang w:eastAsia="en-IN"/>
        </w:rPr>
        <w:t>Table 3.4</w:t>
      </w:r>
    </w:p>
    <w:tbl>
      <w:tblPr>
        <w:tblW w:w="7475" w:type="dxa"/>
        <w:jc w:val="center"/>
        <w:tblLook w:val="04A0" w:firstRow="1" w:lastRow="0" w:firstColumn="1" w:lastColumn="0" w:noHBand="0" w:noVBand="1"/>
      </w:tblPr>
      <w:tblGrid>
        <w:gridCol w:w="5085"/>
        <w:gridCol w:w="1129"/>
        <w:gridCol w:w="1261"/>
      </w:tblGrid>
      <w:tr w:rsidR="00381ACE" w:rsidRPr="0042735D" w:rsidTr="0071396F">
        <w:trPr>
          <w:trHeight w:val="477"/>
          <w:jc w:val="center"/>
        </w:trPr>
        <w:tc>
          <w:tcPr>
            <w:tcW w:w="50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1ACE" w:rsidRPr="0042735D" w:rsidRDefault="00381ACE" w:rsidP="00717D3E">
            <w:pPr>
              <w:spacing w:after="0" w:line="240" w:lineRule="auto"/>
              <w:ind w:right="67"/>
              <w:rPr>
                <w:rFonts w:ascii="Bookman Old Style" w:hAnsi="Bookman Old Style" w:cs="Calibri"/>
                <w:b/>
                <w:bCs/>
                <w:color w:val="000000"/>
                <w:lang w:eastAsia="en-IN"/>
              </w:rPr>
            </w:pPr>
            <w:r w:rsidRPr="0042735D">
              <w:rPr>
                <w:rFonts w:ascii="Bookman Old Style" w:hAnsi="Bookman Old Style" w:cs="Calibri"/>
                <w:b/>
                <w:bCs/>
                <w:color w:val="000000"/>
                <w:lang w:eastAsia="en-IN"/>
              </w:rPr>
              <w:t>Particulars</w:t>
            </w:r>
          </w:p>
        </w:tc>
        <w:tc>
          <w:tcPr>
            <w:tcW w:w="1129" w:type="dxa"/>
            <w:tcBorders>
              <w:top w:val="single" w:sz="8" w:space="0" w:color="auto"/>
              <w:left w:val="nil"/>
              <w:bottom w:val="single" w:sz="8" w:space="0" w:color="auto"/>
              <w:right w:val="single" w:sz="8" w:space="0" w:color="auto"/>
            </w:tcBorders>
            <w:shd w:val="clear" w:color="auto" w:fill="auto"/>
            <w:noWrap/>
            <w:vAlign w:val="center"/>
            <w:hideMark/>
          </w:tcPr>
          <w:p w:rsidR="00381ACE" w:rsidRPr="0042735D" w:rsidRDefault="00381ACE" w:rsidP="00717D3E">
            <w:pPr>
              <w:spacing w:after="0" w:line="240" w:lineRule="auto"/>
              <w:ind w:right="67"/>
              <w:rPr>
                <w:rFonts w:ascii="Bookman Old Style" w:hAnsi="Bookman Old Style" w:cs="Calibri"/>
                <w:b/>
                <w:bCs/>
                <w:color w:val="000000"/>
                <w:lang w:eastAsia="en-IN"/>
              </w:rPr>
            </w:pPr>
            <w:r w:rsidRPr="0042735D">
              <w:rPr>
                <w:rFonts w:ascii="Bookman Old Style" w:hAnsi="Bookman Old Style" w:cs="Calibri"/>
                <w:b/>
                <w:bCs/>
                <w:color w:val="000000"/>
                <w:lang w:eastAsia="en-IN"/>
              </w:rPr>
              <w:t>FY-19</w:t>
            </w:r>
          </w:p>
        </w:tc>
        <w:tc>
          <w:tcPr>
            <w:tcW w:w="1261" w:type="dxa"/>
            <w:tcBorders>
              <w:top w:val="single" w:sz="8" w:space="0" w:color="auto"/>
              <w:left w:val="nil"/>
              <w:bottom w:val="single" w:sz="8" w:space="0" w:color="auto"/>
              <w:right w:val="single" w:sz="8" w:space="0" w:color="auto"/>
            </w:tcBorders>
            <w:shd w:val="clear" w:color="auto" w:fill="auto"/>
            <w:noWrap/>
            <w:vAlign w:val="center"/>
            <w:hideMark/>
          </w:tcPr>
          <w:p w:rsidR="00381ACE" w:rsidRPr="0042735D" w:rsidRDefault="00381ACE" w:rsidP="00717D3E">
            <w:pPr>
              <w:spacing w:after="0" w:line="240" w:lineRule="auto"/>
              <w:ind w:right="67"/>
              <w:rPr>
                <w:rFonts w:ascii="Bookman Old Style" w:hAnsi="Bookman Old Style" w:cs="Calibri"/>
                <w:b/>
                <w:bCs/>
                <w:color w:val="000000"/>
                <w:lang w:eastAsia="en-IN"/>
              </w:rPr>
            </w:pPr>
            <w:r w:rsidRPr="0042735D">
              <w:rPr>
                <w:rFonts w:ascii="Bookman Old Style" w:hAnsi="Bookman Old Style" w:cs="Calibri"/>
                <w:b/>
                <w:bCs/>
                <w:color w:val="000000"/>
                <w:lang w:eastAsia="en-IN"/>
              </w:rPr>
              <w:t>FY-20</w:t>
            </w:r>
          </w:p>
        </w:tc>
      </w:tr>
      <w:tr w:rsidR="00381ACE" w:rsidRPr="0042735D" w:rsidTr="0071396F">
        <w:trPr>
          <w:trHeight w:val="477"/>
          <w:jc w:val="center"/>
        </w:trPr>
        <w:tc>
          <w:tcPr>
            <w:tcW w:w="5085" w:type="dxa"/>
            <w:tcBorders>
              <w:top w:val="nil"/>
              <w:left w:val="single" w:sz="8" w:space="0" w:color="auto"/>
              <w:bottom w:val="single" w:sz="8" w:space="0" w:color="auto"/>
              <w:right w:val="single" w:sz="8" w:space="0" w:color="auto"/>
            </w:tcBorders>
            <w:shd w:val="clear" w:color="auto" w:fill="auto"/>
            <w:noWrap/>
            <w:vAlign w:val="center"/>
            <w:hideMark/>
          </w:tcPr>
          <w:p w:rsidR="00381ACE" w:rsidRPr="0042735D" w:rsidRDefault="00381ACE" w:rsidP="00717D3E">
            <w:pPr>
              <w:spacing w:after="0" w:line="240" w:lineRule="auto"/>
              <w:ind w:right="67"/>
              <w:rPr>
                <w:rFonts w:ascii="Bookman Old Style" w:hAnsi="Bookman Old Style" w:cs="Calibri"/>
                <w:b/>
                <w:bCs/>
                <w:color w:val="000000"/>
                <w:lang w:eastAsia="en-IN"/>
              </w:rPr>
            </w:pPr>
            <w:r w:rsidRPr="0042735D">
              <w:rPr>
                <w:rFonts w:ascii="Bookman Old Style" w:hAnsi="Bookman Old Style" w:cs="Calibri"/>
                <w:b/>
                <w:bCs/>
                <w:color w:val="000000"/>
                <w:lang w:eastAsia="en-IN"/>
              </w:rPr>
              <w:t>LT</w:t>
            </w:r>
            <w:r w:rsidR="00213832">
              <w:rPr>
                <w:rFonts w:ascii="Bookman Old Style" w:hAnsi="Bookman Old Style" w:cs="Calibri"/>
                <w:b/>
                <w:bCs/>
                <w:color w:val="000000"/>
                <w:lang w:eastAsia="en-IN"/>
              </w:rPr>
              <w:t>-</w:t>
            </w:r>
            <w:r w:rsidRPr="0042735D">
              <w:rPr>
                <w:rFonts w:ascii="Bookman Old Style" w:hAnsi="Bookman Old Style" w:cs="Calibri"/>
                <w:b/>
                <w:bCs/>
                <w:color w:val="000000"/>
                <w:lang w:eastAsia="en-IN"/>
              </w:rPr>
              <w:t>4a - Installations (Nos.)</w:t>
            </w:r>
          </w:p>
        </w:tc>
        <w:tc>
          <w:tcPr>
            <w:tcW w:w="1129" w:type="dxa"/>
            <w:tcBorders>
              <w:top w:val="nil"/>
              <w:left w:val="nil"/>
              <w:bottom w:val="single" w:sz="8" w:space="0" w:color="auto"/>
              <w:right w:val="single" w:sz="8" w:space="0" w:color="auto"/>
            </w:tcBorders>
            <w:shd w:val="clear" w:color="auto" w:fill="auto"/>
            <w:noWrap/>
            <w:vAlign w:val="center"/>
            <w:hideMark/>
          </w:tcPr>
          <w:p w:rsidR="00381ACE" w:rsidRPr="0042735D" w:rsidRDefault="00381ACE" w:rsidP="00717D3E">
            <w:pPr>
              <w:spacing w:after="0" w:line="240" w:lineRule="auto"/>
              <w:ind w:right="67"/>
              <w:jc w:val="right"/>
              <w:rPr>
                <w:rFonts w:ascii="Bookman Old Style" w:hAnsi="Bookman Old Style" w:cs="Calibri"/>
                <w:color w:val="000000"/>
                <w:lang w:eastAsia="en-IN"/>
              </w:rPr>
            </w:pPr>
            <w:r w:rsidRPr="0042735D">
              <w:rPr>
                <w:rFonts w:ascii="Bookman Old Style" w:hAnsi="Bookman Old Style" w:cs="Calibri"/>
                <w:color w:val="000000"/>
                <w:lang w:eastAsia="en-IN"/>
              </w:rPr>
              <w:t>904463</w:t>
            </w:r>
          </w:p>
        </w:tc>
        <w:tc>
          <w:tcPr>
            <w:tcW w:w="1261" w:type="dxa"/>
            <w:tcBorders>
              <w:top w:val="nil"/>
              <w:left w:val="nil"/>
              <w:bottom w:val="single" w:sz="8" w:space="0" w:color="auto"/>
              <w:right w:val="single" w:sz="8" w:space="0" w:color="auto"/>
            </w:tcBorders>
            <w:shd w:val="clear" w:color="auto" w:fill="auto"/>
            <w:noWrap/>
            <w:vAlign w:val="center"/>
            <w:hideMark/>
          </w:tcPr>
          <w:p w:rsidR="00381ACE" w:rsidRPr="0042735D" w:rsidRDefault="00381ACE" w:rsidP="00522D15">
            <w:pPr>
              <w:spacing w:after="0" w:line="240" w:lineRule="auto"/>
              <w:ind w:right="67"/>
              <w:jc w:val="right"/>
              <w:rPr>
                <w:rFonts w:ascii="Bookman Old Style" w:hAnsi="Bookman Old Style" w:cs="Calibri"/>
                <w:color w:val="000000"/>
                <w:lang w:eastAsia="en-IN"/>
              </w:rPr>
            </w:pPr>
            <w:r w:rsidRPr="0042735D">
              <w:rPr>
                <w:rFonts w:ascii="Bookman Old Style" w:hAnsi="Bookman Old Style" w:cs="Calibri"/>
                <w:color w:val="000000"/>
                <w:lang w:eastAsia="en-IN"/>
              </w:rPr>
              <w:t>933908</w:t>
            </w:r>
          </w:p>
        </w:tc>
      </w:tr>
      <w:tr w:rsidR="00381ACE" w:rsidRPr="0042735D" w:rsidTr="0071396F">
        <w:trPr>
          <w:trHeight w:val="477"/>
          <w:jc w:val="center"/>
        </w:trPr>
        <w:tc>
          <w:tcPr>
            <w:tcW w:w="5085" w:type="dxa"/>
            <w:tcBorders>
              <w:top w:val="nil"/>
              <w:left w:val="single" w:sz="8" w:space="0" w:color="auto"/>
              <w:bottom w:val="single" w:sz="8" w:space="0" w:color="auto"/>
              <w:right w:val="single" w:sz="8" w:space="0" w:color="auto"/>
            </w:tcBorders>
            <w:shd w:val="clear" w:color="auto" w:fill="auto"/>
            <w:noWrap/>
            <w:vAlign w:val="center"/>
            <w:hideMark/>
          </w:tcPr>
          <w:p w:rsidR="00381ACE" w:rsidRPr="0042735D" w:rsidRDefault="00381ACE" w:rsidP="00717D3E">
            <w:pPr>
              <w:spacing w:after="0" w:line="240" w:lineRule="auto"/>
              <w:ind w:right="67"/>
              <w:rPr>
                <w:rFonts w:ascii="Bookman Old Style" w:hAnsi="Bookman Old Style" w:cs="Calibri"/>
                <w:b/>
                <w:bCs/>
                <w:color w:val="000000"/>
                <w:lang w:eastAsia="en-IN"/>
              </w:rPr>
            </w:pPr>
            <w:r w:rsidRPr="0042735D">
              <w:rPr>
                <w:rFonts w:ascii="Bookman Old Style" w:hAnsi="Bookman Old Style" w:cs="Calibri"/>
                <w:b/>
                <w:bCs/>
                <w:color w:val="000000"/>
                <w:lang w:eastAsia="en-IN"/>
              </w:rPr>
              <w:t>Midyear installations (Nos.)</w:t>
            </w:r>
          </w:p>
        </w:tc>
        <w:tc>
          <w:tcPr>
            <w:tcW w:w="1129" w:type="dxa"/>
            <w:tcBorders>
              <w:top w:val="nil"/>
              <w:left w:val="nil"/>
              <w:bottom w:val="single" w:sz="8" w:space="0" w:color="auto"/>
              <w:right w:val="single" w:sz="8" w:space="0" w:color="auto"/>
            </w:tcBorders>
            <w:shd w:val="clear" w:color="auto" w:fill="auto"/>
            <w:noWrap/>
            <w:vAlign w:val="center"/>
            <w:hideMark/>
          </w:tcPr>
          <w:p w:rsidR="00381ACE" w:rsidRPr="0042735D" w:rsidRDefault="00381ACE" w:rsidP="00717D3E">
            <w:pPr>
              <w:spacing w:after="0" w:line="240" w:lineRule="auto"/>
              <w:ind w:right="67"/>
              <w:rPr>
                <w:rFonts w:ascii="Bookman Old Style" w:hAnsi="Bookman Old Style" w:cs="Calibri"/>
                <w:color w:val="000000"/>
                <w:lang w:eastAsia="en-IN"/>
              </w:rPr>
            </w:pPr>
            <w:r w:rsidRPr="0042735D">
              <w:rPr>
                <w:rFonts w:ascii="Bookman Old Style" w:hAnsi="Bookman Old Style" w:cs="Calibri"/>
                <w:color w:val="000000"/>
                <w:lang w:eastAsia="en-IN"/>
              </w:rPr>
              <w:t> </w:t>
            </w:r>
          </w:p>
        </w:tc>
        <w:tc>
          <w:tcPr>
            <w:tcW w:w="1261" w:type="dxa"/>
            <w:tcBorders>
              <w:top w:val="nil"/>
              <w:left w:val="nil"/>
              <w:bottom w:val="single" w:sz="8" w:space="0" w:color="auto"/>
              <w:right w:val="single" w:sz="8" w:space="0" w:color="auto"/>
            </w:tcBorders>
            <w:shd w:val="clear" w:color="auto" w:fill="auto"/>
            <w:noWrap/>
            <w:vAlign w:val="center"/>
            <w:hideMark/>
          </w:tcPr>
          <w:p w:rsidR="00381ACE" w:rsidRPr="0042735D" w:rsidRDefault="00381ACE" w:rsidP="00522D15">
            <w:pPr>
              <w:spacing w:after="0" w:line="240" w:lineRule="auto"/>
              <w:ind w:right="67"/>
              <w:jc w:val="right"/>
              <w:rPr>
                <w:rFonts w:ascii="Bookman Old Style" w:hAnsi="Bookman Old Style" w:cs="Calibri"/>
                <w:color w:val="000000"/>
                <w:lang w:eastAsia="en-IN"/>
              </w:rPr>
            </w:pPr>
            <w:r>
              <w:rPr>
                <w:rFonts w:ascii="Bookman Old Style" w:hAnsi="Bookman Old Style" w:cs="Calibri"/>
                <w:color w:val="000000"/>
                <w:lang w:eastAsia="en-IN"/>
              </w:rPr>
              <w:t>919186</w:t>
            </w:r>
          </w:p>
        </w:tc>
      </w:tr>
      <w:tr w:rsidR="00381ACE" w:rsidRPr="0042735D" w:rsidTr="0071396F">
        <w:trPr>
          <w:trHeight w:val="477"/>
          <w:jc w:val="center"/>
        </w:trPr>
        <w:tc>
          <w:tcPr>
            <w:tcW w:w="5085" w:type="dxa"/>
            <w:tcBorders>
              <w:top w:val="nil"/>
              <w:left w:val="single" w:sz="8" w:space="0" w:color="auto"/>
              <w:bottom w:val="single" w:sz="8" w:space="0" w:color="auto"/>
              <w:right w:val="single" w:sz="8" w:space="0" w:color="auto"/>
            </w:tcBorders>
            <w:shd w:val="clear" w:color="auto" w:fill="auto"/>
            <w:noWrap/>
            <w:vAlign w:val="center"/>
            <w:hideMark/>
          </w:tcPr>
          <w:p w:rsidR="00381ACE" w:rsidRPr="0042735D" w:rsidRDefault="00381ACE" w:rsidP="00717D3E">
            <w:pPr>
              <w:spacing w:after="0" w:line="240" w:lineRule="auto"/>
              <w:ind w:right="67"/>
              <w:rPr>
                <w:rFonts w:ascii="Bookman Old Style" w:hAnsi="Bookman Old Style" w:cs="Calibri"/>
                <w:b/>
                <w:bCs/>
                <w:color w:val="000000"/>
                <w:lang w:eastAsia="en-IN"/>
              </w:rPr>
            </w:pPr>
            <w:r w:rsidRPr="0042735D">
              <w:rPr>
                <w:rFonts w:ascii="Bookman Old Style" w:hAnsi="Bookman Old Style" w:cs="Calibri"/>
                <w:b/>
                <w:bCs/>
                <w:color w:val="000000"/>
                <w:lang w:eastAsia="en-IN"/>
              </w:rPr>
              <w:t>LT</w:t>
            </w:r>
            <w:r w:rsidR="00213832">
              <w:rPr>
                <w:rFonts w:ascii="Bookman Old Style" w:hAnsi="Bookman Old Style" w:cs="Calibri"/>
                <w:b/>
                <w:bCs/>
                <w:color w:val="000000"/>
                <w:lang w:eastAsia="en-IN"/>
              </w:rPr>
              <w:t>-</w:t>
            </w:r>
            <w:r w:rsidRPr="0042735D">
              <w:rPr>
                <w:rFonts w:ascii="Bookman Old Style" w:hAnsi="Bookman Old Style" w:cs="Calibri"/>
                <w:b/>
                <w:bCs/>
                <w:color w:val="000000"/>
                <w:lang w:eastAsia="en-IN"/>
              </w:rPr>
              <w:t>4a - Sales(MU)</w:t>
            </w:r>
          </w:p>
        </w:tc>
        <w:tc>
          <w:tcPr>
            <w:tcW w:w="1129" w:type="dxa"/>
            <w:tcBorders>
              <w:top w:val="nil"/>
              <w:left w:val="nil"/>
              <w:bottom w:val="single" w:sz="8" w:space="0" w:color="auto"/>
              <w:right w:val="single" w:sz="8" w:space="0" w:color="auto"/>
            </w:tcBorders>
            <w:shd w:val="clear" w:color="auto" w:fill="auto"/>
            <w:noWrap/>
            <w:vAlign w:val="center"/>
            <w:hideMark/>
          </w:tcPr>
          <w:p w:rsidR="00381ACE" w:rsidRPr="0042735D" w:rsidRDefault="00381ACE" w:rsidP="00717D3E">
            <w:pPr>
              <w:spacing w:after="0" w:line="240" w:lineRule="auto"/>
              <w:ind w:right="67"/>
              <w:rPr>
                <w:rFonts w:ascii="Bookman Old Style" w:hAnsi="Bookman Old Style" w:cs="Calibri"/>
                <w:color w:val="000000"/>
                <w:lang w:eastAsia="en-IN"/>
              </w:rPr>
            </w:pPr>
            <w:r w:rsidRPr="0042735D">
              <w:rPr>
                <w:rFonts w:ascii="Bookman Old Style" w:hAnsi="Bookman Old Style" w:cs="Calibri"/>
                <w:color w:val="000000"/>
                <w:lang w:eastAsia="en-IN"/>
              </w:rPr>
              <w:t> </w:t>
            </w:r>
          </w:p>
        </w:tc>
        <w:tc>
          <w:tcPr>
            <w:tcW w:w="1261" w:type="dxa"/>
            <w:tcBorders>
              <w:top w:val="nil"/>
              <w:left w:val="nil"/>
              <w:bottom w:val="single" w:sz="8" w:space="0" w:color="auto"/>
              <w:right w:val="single" w:sz="8" w:space="0" w:color="auto"/>
            </w:tcBorders>
            <w:shd w:val="clear" w:color="auto" w:fill="auto"/>
            <w:noWrap/>
            <w:vAlign w:val="center"/>
            <w:hideMark/>
          </w:tcPr>
          <w:p w:rsidR="00381ACE" w:rsidRPr="0042735D" w:rsidRDefault="00381ACE" w:rsidP="00522D15">
            <w:pPr>
              <w:spacing w:after="0" w:line="240" w:lineRule="auto"/>
              <w:ind w:right="67"/>
              <w:jc w:val="right"/>
              <w:rPr>
                <w:rFonts w:ascii="Bookman Old Style" w:hAnsi="Bookman Old Style" w:cs="Calibri"/>
                <w:color w:val="000000"/>
                <w:lang w:eastAsia="en-IN"/>
              </w:rPr>
            </w:pPr>
            <w:r w:rsidRPr="0042735D">
              <w:rPr>
                <w:rFonts w:ascii="Bookman Old Style" w:hAnsi="Bookman Old Style" w:cs="Calibri"/>
                <w:color w:val="000000"/>
                <w:lang w:eastAsia="en-IN"/>
              </w:rPr>
              <w:t>6916.36</w:t>
            </w:r>
          </w:p>
        </w:tc>
      </w:tr>
      <w:tr w:rsidR="00381ACE" w:rsidRPr="0042735D" w:rsidTr="0071396F">
        <w:trPr>
          <w:trHeight w:val="477"/>
          <w:jc w:val="center"/>
        </w:trPr>
        <w:tc>
          <w:tcPr>
            <w:tcW w:w="5085" w:type="dxa"/>
            <w:tcBorders>
              <w:top w:val="nil"/>
              <w:left w:val="single" w:sz="8" w:space="0" w:color="auto"/>
              <w:bottom w:val="single" w:sz="8" w:space="0" w:color="auto"/>
              <w:right w:val="single" w:sz="8" w:space="0" w:color="auto"/>
            </w:tcBorders>
            <w:shd w:val="clear" w:color="auto" w:fill="auto"/>
            <w:noWrap/>
            <w:vAlign w:val="center"/>
            <w:hideMark/>
          </w:tcPr>
          <w:p w:rsidR="00381ACE" w:rsidRPr="0042735D" w:rsidRDefault="00381ACE" w:rsidP="00717D3E">
            <w:pPr>
              <w:spacing w:after="0" w:line="240" w:lineRule="auto"/>
              <w:ind w:right="67"/>
              <w:rPr>
                <w:rFonts w:ascii="Bookman Old Style" w:hAnsi="Bookman Old Style" w:cs="Calibri"/>
                <w:b/>
                <w:bCs/>
                <w:color w:val="000000"/>
                <w:lang w:eastAsia="en-IN"/>
              </w:rPr>
            </w:pPr>
            <w:r w:rsidRPr="0042735D">
              <w:rPr>
                <w:rFonts w:ascii="Bookman Old Style" w:hAnsi="Bookman Old Style" w:cs="Calibri"/>
                <w:b/>
                <w:bCs/>
                <w:color w:val="000000"/>
                <w:lang w:eastAsia="en-IN"/>
              </w:rPr>
              <w:t>Specific consumption in units/IP/annum</w:t>
            </w:r>
          </w:p>
        </w:tc>
        <w:tc>
          <w:tcPr>
            <w:tcW w:w="1129" w:type="dxa"/>
            <w:tcBorders>
              <w:top w:val="nil"/>
              <w:left w:val="nil"/>
              <w:bottom w:val="single" w:sz="8" w:space="0" w:color="auto"/>
              <w:right w:val="single" w:sz="8" w:space="0" w:color="auto"/>
            </w:tcBorders>
            <w:shd w:val="clear" w:color="auto" w:fill="auto"/>
            <w:noWrap/>
            <w:vAlign w:val="center"/>
            <w:hideMark/>
          </w:tcPr>
          <w:p w:rsidR="00381ACE" w:rsidRPr="0042735D" w:rsidRDefault="00381ACE" w:rsidP="00717D3E">
            <w:pPr>
              <w:spacing w:after="0" w:line="240" w:lineRule="auto"/>
              <w:ind w:right="67"/>
              <w:rPr>
                <w:rFonts w:ascii="Bookman Old Style" w:hAnsi="Bookman Old Style" w:cs="Calibri"/>
                <w:color w:val="000000"/>
                <w:lang w:eastAsia="en-IN"/>
              </w:rPr>
            </w:pPr>
            <w:r w:rsidRPr="0042735D">
              <w:rPr>
                <w:rFonts w:ascii="Bookman Old Style" w:hAnsi="Bookman Old Style" w:cs="Calibri"/>
                <w:color w:val="000000"/>
                <w:lang w:eastAsia="en-IN"/>
              </w:rPr>
              <w:t> </w:t>
            </w:r>
          </w:p>
        </w:tc>
        <w:tc>
          <w:tcPr>
            <w:tcW w:w="1261" w:type="dxa"/>
            <w:tcBorders>
              <w:top w:val="nil"/>
              <w:left w:val="nil"/>
              <w:bottom w:val="single" w:sz="8" w:space="0" w:color="auto"/>
              <w:right w:val="single" w:sz="8" w:space="0" w:color="auto"/>
            </w:tcBorders>
            <w:shd w:val="clear" w:color="auto" w:fill="auto"/>
            <w:noWrap/>
            <w:vAlign w:val="center"/>
            <w:hideMark/>
          </w:tcPr>
          <w:p w:rsidR="00381ACE" w:rsidRPr="0042735D" w:rsidRDefault="00381ACE" w:rsidP="00522D15">
            <w:pPr>
              <w:spacing w:after="0" w:line="240" w:lineRule="auto"/>
              <w:ind w:right="67"/>
              <w:jc w:val="right"/>
              <w:rPr>
                <w:rFonts w:ascii="Bookman Old Style" w:hAnsi="Bookman Old Style" w:cs="Calibri"/>
                <w:b/>
                <w:bCs/>
                <w:color w:val="000000"/>
                <w:lang w:eastAsia="en-IN"/>
              </w:rPr>
            </w:pPr>
            <w:r w:rsidRPr="0042735D">
              <w:rPr>
                <w:rFonts w:ascii="Bookman Old Style" w:hAnsi="Bookman Old Style" w:cs="Calibri"/>
                <w:b/>
                <w:bCs/>
                <w:color w:val="000000"/>
                <w:lang w:eastAsia="en-IN"/>
              </w:rPr>
              <w:t>7524.44</w:t>
            </w:r>
          </w:p>
        </w:tc>
      </w:tr>
    </w:tbl>
    <w:p w:rsidR="00381ACE" w:rsidRDefault="00381ACE" w:rsidP="00717D3E">
      <w:pPr>
        <w:spacing w:line="360" w:lineRule="auto"/>
        <w:ind w:right="67"/>
        <w:jc w:val="both"/>
        <w:rPr>
          <w:rFonts w:ascii="Bookman Old Style" w:eastAsiaTheme="minorEastAsia" w:hAnsi="Bookman Old Style" w:cs="Arial"/>
        </w:rPr>
      </w:pPr>
    </w:p>
    <w:p w:rsidR="00381ACE" w:rsidRDefault="00381ACE" w:rsidP="00717D3E">
      <w:pPr>
        <w:spacing w:line="360" w:lineRule="auto"/>
        <w:ind w:right="67"/>
        <w:jc w:val="both"/>
        <w:rPr>
          <w:rFonts w:ascii="Bookman Old Style" w:hAnsi="Bookman Old Style" w:cs="Calibri"/>
          <w:bCs/>
          <w:color w:val="000000"/>
          <w:lang w:eastAsia="en-IN"/>
        </w:rPr>
      </w:pPr>
      <w:r>
        <w:rPr>
          <w:rFonts w:ascii="Bookman Old Style" w:hAnsi="Bookman Old Style" w:cs="Calibri"/>
          <w:bCs/>
          <w:color w:val="000000"/>
          <w:lang w:eastAsia="en-IN"/>
        </w:rPr>
        <w:t>6</w:t>
      </w:r>
      <w:r w:rsidRPr="00BD672B">
        <w:rPr>
          <w:rFonts w:ascii="Bookman Old Style" w:hAnsi="Bookman Old Style" w:cs="Calibri"/>
          <w:bCs/>
          <w:color w:val="000000"/>
          <w:lang w:eastAsia="en-IN"/>
        </w:rPr>
        <w:t xml:space="preserve"> years</w:t>
      </w:r>
      <w:r w:rsidRPr="00BD672B">
        <w:rPr>
          <w:rFonts w:ascii="Bookman Old Style" w:eastAsiaTheme="minorEastAsia" w:hAnsi="Bookman Old Style" w:cs="Arial"/>
          <w:color w:val="FF0000"/>
        </w:rPr>
        <w:t xml:space="preserve"> </w:t>
      </w:r>
      <w:r w:rsidRPr="00BD672B">
        <w:rPr>
          <w:rFonts w:ascii="Bookman Old Style" w:hAnsi="Bookman Old Style" w:cs="Calibri"/>
          <w:bCs/>
          <w:color w:val="000000"/>
          <w:lang w:eastAsia="en-IN"/>
        </w:rPr>
        <w:t>specific consumption in units/IP/annum</w:t>
      </w:r>
      <w:r w:rsidR="00DB4ECF">
        <w:rPr>
          <w:rFonts w:ascii="Bookman Old Style" w:hAnsi="Bookman Old Style" w:cs="Calibri"/>
          <w:bCs/>
          <w:color w:val="000000"/>
          <w:lang w:eastAsia="en-IN"/>
        </w:rPr>
        <w:t>:</w:t>
      </w:r>
      <w:r>
        <w:rPr>
          <w:rFonts w:ascii="Bookman Old Style" w:hAnsi="Bookman Old Style" w:cs="Calibri"/>
          <w:bCs/>
          <w:color w:val="000000"/>
          <w:lang w:eastAsia="en-IN"/>
        </w:rPr>
        <w:t xml:space="preserve"> </w:t>
      </w:r>
    </w:p>
    <w:p w:rsidR="000B3921" w:rsidRPr="00825264" w:rsidRDefault="000B3921" w:rsidP="000B3921">
      <w:pPr>
        <w:spacing w:line="360" w:lineRule="auto"/>
        <w:ind w:right="67"/>
        <w:jc w:val="center"/>
        <w:rPr>
          <w:rFonts w:ascii="Bookman Old Style" w:hAnsi="Bookman Old Style" w:cs="Calibri"/>
          <w:b/>
          <w:bCs/>
          <w:sz w:val="18"/>
          <w:lang w:eastAsia="en-IN"/>
        </w:rPr>
      </w:pPr>
      <w:r w:rsidRPr="00825264">
        <w:rPr>
          <w:rFonts w:ascii="Bookman Old Style" w:hAnsi="Bookman Old Style" w:cs="Calibri"/>
          <w:b/>
          <w:bCs/>
          <w:sz w:val="18"/>
          <w:lang w:eastAsia="en-IN"/>
        </w:rPr>
        <w:t>Table 3.5</w:t>
      </w:r>
    </w:p>
    <w:tbl>
      <w:tblPr>
        <w:tblW w:w="9867" w:type="dxa"/>
        <w:tblInd w:w="108" w:type="dxa"/>
        <w:tblLook w:val="04A0" w:firstRow="1" w:lastRow="0" w:firstColumn="1" w:lastColumn="0" w:noHBand="0" w:noVBand="1"/>
      </w:tblPr>
      <w:tblGrid>
        <w:gridCol w:w="2163"/>
        <w:gridCol w:w="1102"/>
        <w:gridCol w:w="1102"/>
        <w:gridCol w:w="1102"/>
        <w:gridCol w:w="1102"/>
        <w:gridCol w:w="1102"/>
        <w:gridCol w:w="1102"/>
        <w:gridCol w:w="1102"/>
      </w:tblGrid>
      <w:tr w:rsidR="00381ACE" w:rsidRPr="00FD73E5" w:rsidTr="0071396F">
        <w:trPr>
          <w:trHeight w:val="531"/>
        </w:trPr>
        <w:tc>
          <w:tcPr>
            <w:tcW w:w="2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1ACE" w:rsidRPr="00FD73E5" w:rsidRDefault="00381ACE" w:rsidP="00717D3E">
            <w:pPr>
              <w:spacing w:after="0" w:line="240" w:lineRule="auto"/>
              <w:ind w:right="67"/>
              <w:rPr>
                <w:rFonts w:ascii="Bookman Old Style" w:hAnsi="Bookman Old Style" w:cs="Calibri"/>
                <w:b/>
                <w:bCs/>
                <w:color w:val="000000"/>
                <w:lang w:eastAsia="en-IN"/>
              </w:rPr>
            </w:pPr>
            <w:r w:rsidRPr="00FD73E5">
              <w:rPr>
                <w:rFonts w:ascii="Bookman Old Style" w:hAnsi="Bookman Old Style" w:cs="Calibri"/>
                <w:b/>
                <w:bCs/>
                <w:color w:val="000000"/>
                <w:lang w:eastAsia="en-IN"/>
              </w:rPr>
              <w:t>Particulars</w:t>
            </w:r>
          </w:p>
        </w:tc>
        <w:tc>
          <w:tcPr>
            <w:tcW w:w="1101" w:type="dxa"/>
            <w:tcBorders>
              <w:top w:val="single" w:sz="8" w:space="0" w:color="auto"/>
              <w:left w:val="nil"/>
              <w:bottom w:val="single" w:sz="8" w:space="0" w:color="auto"/>
              <w:right w:val="single" w:sz="8" w:space="0" w:color="auto"/>
            </w:tcBorders>
            <w:shd w:val="clear" w:color="auto" w:fill="auto"/>
            <w:noWrap/>
            <w:vAlign w:val="center"/>
            <w:hideMark/>
          </w:tcPr>
          <w:p w:rsidR="00381ACE" w:rsidRPr="00FD73E5" w:rsidRDefault="00381ACE" w:rsidP="00717D3E">
            <w:pPr>
              <w:spacing w:after="0" w:line="240" w:lineRule="auto"/>
              <w:ind w:right="67"/>
              <w:rPr>
                <w:rFonts w:ascii="Bookman Old Style" w:hAnsi="Bookman Old Style" w:cs="Calibri"/>
                <w:b/>
                <w:bCs/>
                <w:color w:val="000000"/>
                <w:lang w:eastAsia="en-IN"/>
              </w:rPr>
            </w:pPr>
            <w:r w:rsidRPr="00FD73E5">
              <w:rPr>
                <w:rFonts w:ascii="Bookman Old Style" w:hAnsi="Bookman Old Style" w:cs="Calibri"/>
                <w:b/>
                <w:bCs/>
                <w:color w:val="000000"/>
                <w:lang w:eastAsia="en-IN"/>
              </w:rPr>
              <w:t>FY-14</w:t>
            </w:r>
          </w:p>
        </w:tc>
        <w:tc>
          <w:tcPr>
            <w:tcW w:w="1101" w:type="dxa"/>
            <w:tcBorders>
              <w:top w:val="single" w:sz="8" w:space="0" w:color="auto"/>
              <w:left w:val="nil"/>
              <w:bottom w:val="single" w:sz="8" w:space="0" w:color="auto"/>
              <w:right w:val="single" w:sz="8" w:space="0" w:color="auto"/>
            </w:tcBorders>
            <w:shd w:val="clear" w:color="auto" w:fill="auto"/>
            <w:noWrap/>
            <w:vAlign w:val="center"/>
            <w:hideMark/>
          </w:tcPr>
          <w:p w:rsidR="00381ACE" w:rsidRPr="00FD73E5" w:rsidRDefault="00381ACE" w:rsidP="00717D3E">
            <w:pPr>
              <w:spacing w:after="0" w:line="240" w:lineRule="auto"/>
              <w:ind w:right="67"/>
              <w:rPr>
                <w:rFonts w:ascii="Bookman Old Style" w:hAnsi="Bookman Old Style" w:cs="Calibri"/>
                <w:b/>
                <w:bCs/>
                <w:color w:val="000000"/>
                <w:lang w:eastAsia="en-IN"/>
              </w:rPr>
            </w:pPr>
            <w:r w:rsidRPr="00FD73E5">
              <w:rPr>
                <w:rFonts w:ascii="Bookman Old Style" w:hAnsi="Bookman Old Style" w:cs="Calibri"/>
                <w:b/>
                <w:bCs/>
                <w:color w:val="000000"/>
                <w:lang w:eastAsia="en-IN"/>
              </w:rPr>
              <w:t>FY-15</w:t>
            </w:r>
          </w:p>
        </w:tc>
        <w:tc>
          <w:tcPr>
            <w:tcW w:w="1101" w:type="dxa"/>
            <w:tcBorders>
              <w:top w:val="single" w:sz="8" w:space="0" w:color="auto"/>
              <w:left w:val="nil"/>
              <w:bottom w:val="single" w:sz="8" w:space="0" w:color="auto"/>
              <w:right w:val="single" w:sz="8" w:space="0" w:color="auto"/>
            </w:tcBorders>
            <w:shd w:val="clear" w:color="auto" w:fill="auto"/>
            <w:noWrap/>
            <w:vAlign w:val="center"/>
            <w:hideMark/>
          </w:tcPr>
          <w:p w:rsidR="00381ACE" w:rsidRPr="00FD73E5" w:rsidRDefault="00381ACE" w:rsidP="00717D3E">
            <w:pPr>
              <w:spacing w:after="0" w:line="240" w:lineRule="auto"/>
              <w:ind w:right="67"/>
              <w:rPr>
                <w:rFonts w:ascii="Bookman Old Style" w:hAnsi="Bookman Old Style" w:cs="Calibri"/>
                <w:b/>
                <w:bCs/>
                <w:color w:val="000000"/>
                <w:lang w:eastAsia="en-IN"/>
              </w:rPr>
            </w:pPr>
            <w:r w:rsidRPr="00FD73E5">
              <w:rPr>
                <w:rFonts w:ascii="Bookman Old Style" w:hAnsi="Bookman Old Style" w:cs="Calibri"/>
                <w:b/>
                <w:bCs/>
                <w:color w:val="000000"/>
                <w:lang w:eastAsia="en-IN"/>
              </w:rPr>
              <w:t>FY-16</w:t>
            </w:r>
          </w:p>
        </w:tc>
        <w:tc>
          <w:tcPr>
            <w:tcW w:w="1101" w:type="dxa"/>
            <w:tcBorders>
              <w:top w:val="single" w:sz="8" w:space="0" w:color="auto"/>
              <w:left w:val="nil"/>
              <w:bottom w:val="single" w:sz="8" w:space="0" w:color="auto"/>
              <w:right w:val="single" w:sz="8" w:space="0" w:color="auto"/>
            </w:tcBorders>
            <w:shd w:val="clear" w:color="auto" w:fill="auto"/>
            <w:noWrap/>
            <w:vAlign w:val="center"/>
            <w:hideMark/>
          </w:tcPr>
          <w:p w:rsidR="00381ACE" w:rsidRPr="00FD73E5" w:rsidRDefault="00381ACE" w:rsidP="00717D3E">
            <w:pPr>
              <w:spacing w:after="0" w:line="240" w:lineRule="auto"/>
              <w:ind w:right="67"/>
              <w:rPr>
                <w:rFonts w:ascii="Bookman Old Style" w:hAnsi="Bookman Old Style" w:cs="Calibri"/>
                <w:b/>
                <w:bCs/>
                <w:color w:val="000000"/>
                <w:lang w:eastAsia="en-IN"/>
              </w:rPr>
            </w:pPr>
            <w:r w:rsidRPr="00FD73E5">
              <w:rPr>
                <w:rFonts w:ascii="Bookman Old Style" w:hAnsi="Bookman Old Style" w:cs="Calibri"/>
                <w:b/>
                <w:bCs/>
                <w:color w:val="000000"/>
                <w:lang w:eastAsia="en-IN"/>
              </w:rPr>
              <w:t>FY-17</w:t>
            </w:r>
          </w:p>
        </w:tc>
        <w:tc>
          <w:tcPr>
            <w:tcW w:w="1101" w:type="dxa"/>
            <w:tcBorders>
              <w:top w:val="single" w:sz="8" w:space="0" w:color="auto"/>
              <w:left w:val="nil"/>
              <w:bottom w:val="single" w:sz="8" w:space="0" w:color="auto"/>
              <w:right w:val="single" w:sz="8" w:space="0" w:color="auto"/>
            </w:tcBorders>
            <w:shd w:val="clear" w:color="auto" w:fill="auto"/>
            <w:noWrap/>
            <w:vAlign w:val="center"/>
            <w:hideMark/>
          </w:tcPr>
          <w:p w:rsidR="00381ACE" w:rsidRPr="00FD73E5" w:rsidRDefault="00381ACE" w:rsidP="00717D3E">
            <w:pPr>
              <w:spacing w:after="0" w:line="240" w:lineRule="auto"/>
              <w:ind w:right="67"/>
              <w:rPr>
                <w:rFonts w:ascii="Bookman Old Style" w:hAnsi="Bookman Old Style" w:cs="Calibri"/>
                <w:b/>
                <w:bCs/>
                <w:color w:val="000000"/>
                <w:lang w:eastAsia="en-IN"/>
              </w:rPr>
            </w:pPr>
            <w:r w:rsidRPr="00FD73E5">
              <w:rPr>
                <w:rFonts w:ascii="Bookman Old Style" w:hAnsi="Bookman Old Style" w:cs="Calibri"/>
                <w:b/>
                <w:bCs/>
                <w:color w:val="000000"/>
                <w:lang w:eastAsia="en-IN"/>
              </w:rPr>
              <w:t>FY-18</w:t>
            </w:r>
          </w:p>
        </w:tc>
        <w:tc>
          <w:tcPr>
            <w:tcW w:w="1101" w:type="dxa"/>
            <w:tcBorders>
              <w:top w:val="single" w:sz="8" w:space="0" w:color="auto"/>
              <w:left w:val="nil"/>
              <w:bottom w:val="single" w:sz="8" w:space="0" w:color="auto"/>
              <w:right w:val="single" w:sz="8" w:space="0" w:color="auto"/>
            </w:tcBorders>
            <w:shd w:val="clear" w:color="auto" w:fill="auto"/>
            <w:noWrap/>
            <w:vAlign w:val="center"/>
            <w:hideMark/>
          </w:tcPr>
          <w:p w:rsidR="00381ACE" w:rsidRPr="00FD73E5" w:rsidRDefault="00381ACE" w:rsidP="00717D3E">
            <w:pPr>
              <w:spacing w:after="0" w:line="240" w:lineRule="auto"/>
              <w:ind w:right="67"/>
              <w:rPr>
                <w:rFonts w:ascii="Bookman Old Style" w:hAnsi="Bookman Old Style" w:cs="Calibri"/>
                <w:b/>
                <w:bCs/>
                <w:color w:val="000000"/>
                <w:lang w:eastAsia="en-IN"/>
              </w:rPr>
            </w:pPr>
            <w:r w:rsidRPr="00FD73E5">
              <w:rPr>
                <w:rFonts w:ascii="Bookman Old Style" w:hAnsi="Bookman Old Style" w:cs="Calibri"/>
                <w:b/>
                <w:bCs/>
                <w:color w:val="000000"/>
                <w:lang w:eastAsia="en-IN"/>
              </w:rPr>
              <w:t>FY-19</w:t>
            </w:r>
          </w:p>
        </w:tc>
        <w:tc>
          <w:tcPr>
            <w:tcW w:w="1101" w:type="dxa"/>
            <w:tcBorders>
              <w:top w:val="single" w:sz="8" w:space="0" w:color="auto"/>
              <w:left w:val="nil"/>
              <w:bottom w:val="single" w:sz="8" w:space="0" w:color="auto"/>
              <w:right w:val="single" w:sz="8" w:space="0" w:color="auto"/>
            </w:tcBorders>
            <w:shd w:val="clear" w:color="auto" w:fill="auto"/>
            <w:noWrap/>
            <w:vAlign w:val="center"/>
            <w:hideMark/>
          </w:tcPr>
          <w:p w:rsidR="00381ACE" w:rsidRPr="00FD73E5" w:rsidRDefault="00381ACE" w:rsidP="00717D3E">
            <w:pPr>
              <w:spacing w:after="0" w:line="240" w:lineRule="auto"/>
              <w:ind w:right="67"/>
              <w:rPr>
                <w:rFonts w:ascii="Bookman Old Style" w:hAnsi="Bookman Old Style" w:cs="Calibri"/>
                <w:b/>
                <w:bCs/>
                <w:color w:val="000000"/>
                <w:lang w:eastAsia="en-IN"/>
              </w:rPr>
            </w:pPr>
            <w:r w:rsidRPr="00FD73E5">
              <w:rPr>
                <w:rFonts w:ascii="Bookman Old Style" w:hAnsi="Bookman Old Style" w:cs="Calibri"/>
                <w:b/>
                <w:bCs/>
                <w:color w:val="000000"/>
                <w:lang w:eastAsia="en-IN"/>
              </w:rPr>
              <w:t>FY-20</w:t>
            </w:r>
          </w:p>
        </w:tc>
      </w:tr>
      <w:tr w:rsidR="00381ACE" w:rsidRPr="00FD73E5" w:rsidTr="0071396F">
        <w:trPr>
          <w:trHeight w:val="531"/>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381ACE" w:rsidRPr="00FD73E5" w:rsidRDefault="00381ACE" w:rsidP="00717D3E">
            <w:pPr>
              <w:spacing w:after="0" w:line="240" w:lineRule="auto"/>
              <w:ind w:right="67"/>
              <w:rPr>
                <w:rFonts w:ascii="Bookman Old Style" w:hAnsi="Bookman Old Style" w:cs="Calibri"/>
                <w:b/>
                <w:bCs/>
                <w:color w:val="000000"/>
                <w:lang w:eastAsia="en-IN"/>
              </w:rPr>
            </w:pPr>
            <w:r w:rsidRPr="00FD73E5">
              <w:rPr>
                <w:rFonts w:ascii="Bookman Old Style" w:hAnsi="Bookman Old Style" w:cs="Calibri"/>
                <w:b/>
                <w:bCs/>
                <w:color w:val="000000"/>
                <w:lang w:eastAsia="en-IN"/>
              </w:rPr>
              <w:t>LT4a - Installations (Nos.)</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691785</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768516</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809170</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841228</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872229</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904463</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933908</w:t>
            </w:r>
          </w:p>
        </w:tc>
      </w:tr>
      <w:tr w:rsidR="00381ACE" w:rsidRPr="00FD73E5" w:rsidTr="0071396F">
        <w:trPr>
          <w:trHeight w:val="531"/>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381ACE" w:rsidRPr="00FD73E5" w:rsidRDefault="00381ACE" w:rsidP="00717D3E">
            <w:pPr>
              <w:spacing w:after="0" w:line="240" w:lineRule="auto"/>
              <w:ind w:right="67"/>
              <w:rPr>
                <w:rFonts w:ascii="Bookman Old Style" w:hAnsi="Bookman Old Style" w:cs="Calibri"/>
                <w:b/>
                <w:bCs/>
                <w:color w:val="000000"/>
                <w:lang w:eastAsia="en-IN"/>
              </w:rPr>
            </w:pPr>
            <w:r w:rsidRPr="00FD73E5">
              <w:rPr>
                <w:rFonts w:ascii="Bookman Old Style" w:hAnsi="Bookman Old Style" w:cs="Calibri"/>
                <w:b/>
                <w:bCs/>
                <w:color w:val="000000"/>
                <w:lang w:eastAsia="en-IN"/>
              </w:rPr>
              <w:t>Midyear installations (Nos.)</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 </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730151</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788843</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825199</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856729</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888346</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919186</w:t>
            </w:r>
          </w:p>
        </w:tc>
      </w:tr>
      <w:tr w:rsidR="00381ACE" w:rsidRPr="00FD73E5" w:rsidTr="0071396F">
        <w:trPr>
          <w:trHeight w:val="531"/>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381ACE" w:rsidRPr="00FD73E5" w:rsidRDefault="00381ACE" w:rsidP="00717D3E">
            <w:pPr>
              <w:spacing w:after="0" w:line="240" w:lineRule="auto"/>
              <w:ind w:right="67"/>
              <w:rPr>
                <w:rFonts w:ascii="Bookman Old Style" w:hAnsi="Bookman Old Style" w:cs="Calibri"/>
                <w:b/>
                <w:bCs/>
                <w:color w:val="000000"/>
                <w:lang w:eastAsia="en-IN"/>
              </w:rPr>
            </w:pPr>
            <w:r w:rsidRPr="00FD73E5">
              <w:rPr>
                <w:rFonts w:ascii="Bookman Old Style" w:hAnsi="Bookman Old Style" w:cs="Calibri"/>
                <w:b/>
                <w:bCs/>
                <w:color w:val="000000"/>
                <w:lang w:eastAsia="en-IN"/>
              </w:rPr>
              <w:t>LT</w:t>
            </w:r>
            <w:r w:rsidR="00213832">
              <w:rPr>
                <w:rFonts w:ascii="Bookman Old Style" w:hAnsi="Bookman Old Style" w:cs="Calibri"/>
                <w:b/>
                <w:bCs/>
                <w:color w:val="000000"/>
                <w:lang w:eastAsia="en-IN"/>
              </w:rPr>
              <w:t>-</w:t>
            </w:r>
            <w:r w:rsidRPr="00FD73E5">
              <w:rPr>
                <w:rFonts w:ascii="Bookman Old Style" w:hAnsi="Bookman Old Style" w:cs="Calibri"/>
                <w:b/>
                <w:bCs/>
                <w:color w:val="000000"/>
                <w:lang w:eastAsia="en-IN"/>
              </w:rPr>
              <w:t>4a - Sales(MU)</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 </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5759</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6190</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7285</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6289</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7202</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6916</w:t>
            </w:r>
          </w:p>
        </w:tc>
      </w:tr>
      <w:tr w:rsidR="00381ACE" w:rsidRPr="00FD73E5" w:rsidTr="0071396F">
        <w:trPr>
          <w:trHeight w:val="531"/>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381ACE" w:rsidRPr="00FD73E5" w:rsidRDefault="00381ACE" w:rsidP="00717D3E">
            <w:pPr>
              <w:spacing w:after="0" w:line="240" w:lineRule="auto"/>
              <w:ind w:right="67"/>
              <w:rPr>
                <w:rFonts w:ascii="Bookman Old Style" w:hAnsi="Bookman Old Style" w:cs="Calibri"/>
                <w:b/>
                <w:bCs/>
                <w:color w:val="000000"/>
                <w:lang w:eastAsia="en-IN"/>
              </w:rPr>
            </w:pPr>
            <w:r w:rsidRPr="00FD73E5">
              <w:rPr>
                <w:rFonts w:ascii="Bookman Old Style" w:hAnsi="Bookman Old Style" w:cs="Calibri"/>
                <w:b/>
                <w:bCs/>
                <w:color w:val="000000"/>
                <w:lang w:eastAsia="en-IN"/>
              </w:rPr>
              <w:t>Specific consumption in units/IP/annum</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color w:val="000000"/>
                <w:lang w:eastAsia="en-IN"/>
              </w:rPr>
            </w:pPr>
            <w:r w:rsidRPr="00FD73E5">
              <w:rPr>
                <w:rFonts w:ascii="Bookman Old Style" w:hAnsi="Bookman Old Style" w:cs="Calibri"/>
                <w:color w:val="000000"/>
                <w:lang w:eastAsia="en-IN"/>
              </w:rPr>
              <w:t> </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b/>
                <w:bCs/>
                <w:color w:val="000000"/>
                <w:lang w:eastAsia="en-IN"/>
              </w:rPr>
            </w:pPr>
            <w:r w:rsidRPr="00FD73E5">
              <w:rPr>
                <w:rFonts w:ascii="Bookman Old Style" w:hAnsi="Bookman Old Style" w:cs="Calibri"/>
                <w:b/>
                <w:bCs/>
                <w:color w:val="000000"/>
                <w:lang w:eastAsia="en-IN"/>
              </w:rPr>
              <w:t>7887.6</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b/>
                <w:bCs/>
                <w:color w:val="000000"/>
                <w:lang w:eastAsia="en-IN"/>
              </w:rPr>
            </w:pPr>
            <w:r w:rsidRPr="00FD73E5">
              <w:rPr>
                <w:rFonts w:ascii="Bookman Old Style" w:hAnsi="Bookman Old Style" w:cs="Calibri"/>
                <w:b/>
                <w:bCs/>
                <w:color w:val="000000"/>
                <w:lang w:eastAsia="en-IN"/>
              </w:rPr>
              <w:t>7847</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b/>
                <w:bCs/>
                <w:color w:val="000000"/>
                <w:lang w:eastAsia="en-IN"/>
              </w:rPr>
            </w:pPr>
            <w:r w:rsidRPr="00FD73E5">
              <w:rPr>
                <w:rFonts w:ascii="Bookman Old Style" w:hAnsi="Bookman Old Style" w:cs="Calibri"/>
                <w:b/>
                <w:bCs/>
                <w:color w:val="000000"/>
                <w:lang w:eastAsia="en-IN"/>
              </w:rPr>
              <w:t>8829</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b/>
                <w:bCs/>
                <w:color w:val="000000"/>
                <w:lang w:eastAsia="en-IN"/>
              </w:rPr>
            </w:pPr>
            <w:r w:rsidRPr="00FD73E5">
              <w:rPr>
                <w:rFonts w:ascii="Bookman Old Style" w:hAnsi="Bookman Old Style" w:cs="Calibri"/>
                <w:b/>
                <w:bCs/>
                <w:color w:val="000000"/>
                <w:lang w:eastAsia="en-IN"/>
              </w:rPr>
              <w:t>7341</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b/>
                <w:bCs/>
                <w:color w:val="000000"/>
                <w:lang w:eastAsia="en-IN"/>
              </w:rPr>
            </w:pPr>
            <w:r w:rsidRPr="00FD73E5">
              <w:rPr>
                <w:rFonts w:ascii="Bookman Old Style" w:hAnsi="Bookman Old Style" w:cs="Calibri"/>
                <w:b/>
                <w:bCs/>
                <w:color w:val="000000"/>
                <w:lang w:eastAsia="en-IN"/>
              </w:rPr>
              <w:t>8108</w:t>
            </w:r>
          </w:p>
        </w:tc>
        <w:tc>
          <w:tcPr>
            <w:tcW w:w="1101" w:type="dxa"/>
            <w:tcBorders>
              <w:top w:val="nil"/>
              <w:left w:val="nil"/>
              <w:bottom w:val="single" w:sz="8" w:space="0" w:color="auto"/>
              <w:right w:val="single" w:sz="8" w:space="0" w:color="auto"/>
            </w:tcBorders>
            <w:shd w:val="clear" w:color="auto" w:fill="auto"/>
            <w:noWrap/>
            <w:vAlign w:val="center"/>
            <w:hideMark/>
          </w:tcPr>
          <w:p w:rsidR="00381ACE" w:rsidRPr="00FD73E5" w:rsidRDefault="00381ACE" w:rsidP="00213832">
            <w:pPr>
              <w:spacing w:after="0" w:line="240" w:lineRule="auto"/>
              <w:ind w:right="67"/>
              <w:jc w:val="right"/>
              <w:rPr>
                <w:rFonts w:ascii="Bookman Old Style" w:hAnsi="Bookman Old Style" w:cs="Calibri"/>
                <w:b/>
                <w:bCs/>
                <w:color w:val="000000"/>
                <w:lang w:eastAsia="en-IN"/>
              </w:rPr>
            </w:pPr>
            <w:r w:rsidRPr="00FD73E5">
              <w:rPr>
                <w:rFonts w:ascii="Bookman Old Style" w:hAnsi="Bookman Old Style" w:cs="Calibri"/>
                <w:b/>
                <w:bCs/>
                <w:color w:val="000000"/>
                <w:lang w:eastAsia="en-IN"/>
              </w:rPr>
              <w:t>7524</w:t>
            </w:r>
          </w:p>
        </w:tc>
      </w:tr>
    </w:tbl>
    <w:p w:rsidR="00381ACE" w:rsidRDefault="00381ACE" w:rsidP="00717D3E">
      <w:pPr>
        <w:spacing w:line="360" w:lineRule="auto"/>
        <w:ind w:right="67"/>
        <w:jc w:val="both"/>
        <w:rPr>
          <w:rFonts w:ascii="Bookman Old Style" w:eastAsiaTheme="minorEastAsia" w:hAnsi="Bookman Old Style" w:cs="Arial"/>
        </w:rPr>
      </w:pPr>
    </w:p>
    <w:p w:rsidR="00381ACE" w:rsidRDefault="00381ACE" w:rsidP="00717D3E">
      <w:pPr>
        <w:spacing w:line="360" w:lineRule="auto"/>
        <w:ind w:right="67"/>
        <w:jc w:val="both"/>
        <w:rPr>
          <w:rFonts w:ascii="Bookman Old Style" w:eastAsiaTheme="minorEastAsia" w:hAnsi="Bookman Old Style" w:cs="Arial"/>
        </w:rPr>
      </w:pPr>
      <w:r>
        <w:rPr>
          <w:rFonts w:ascii="Bookman Old Style" w:eastAsiaTheme="minorEastAsia" w:hAnsi="Bookman Old Style" w:cs="Arial"/>
        </w:rPr>
        <w:t xml:space="preserve">Though there is a decrease in </w:t>
      </w:r>
      <w:r w:rsidRPr="00565816">
        <w:rPr>
          <w:rFonts w:ascii="Bookman Old Style" w:eastAsiaTheme="minorEastAsia" w:hAnsi="Bookman Old Style" w:cs="Arial"/>
        </w:rPr>
        <w:t>LT</w:t>
      </w:r>
      <w:r w:rsidR="00213832">
        <w:rPr>
          <w:rFonts w:ascii="Bookman Old Style" w:eastAsiaTheme="minorEastAsia" w:hAnsi="Bookman Old Style" w:cs="Arial"/>
        </w:rPr>
        <w:t>-</w:t>
      </w:r>
      <w:r w:rsidRPr="00565816">
        <w:rPr>
          <w:rFonts w:ascii="Bookman Old Style" w:eastAsiaTheme="minorEastAsia" w:hAnsi="Bookman Old Style" w:cs="Arial"/>
        </w:rPr>
        <w:t>2a, LT</w:t>
      </w:r>
      <w:r w:rsidR="00213832">
        <w:rPr>
          <w:rFonts w:ascii="Bookman Old Style" w:eastAsiaTheme="minorEastAsia" w:hAnsi="Bookman Old Style" w:cs="Arial"/>
        </w:rPr>
        <w:t>-</w:t>
      </w:r>
      <w:r w:rsidRPr="00565816">
        <w:rPr>
          <w:rFonts w:ascii="Bookman Old Style" w:eastAsiaTheme="minorEastAsia" w:hAnsi="Bookman Old Style" w:cs="Arial"/>
        </w:rPr>
        <w:t>5, LT</w:t>
      </w:r>
      <w:r w:rsidR="00213832">
        <w:rPr>
          <w:rFonts w:ascii="Bookman Old Style" w:eastAsiaTheme="minorEastAsia" w:hAnsi="Bookman Old Style" w:cs="Arial"/>
        </w:rPr>
        <w:t>-</w:t>
      </w:r>
      <w:r w:rsidRPr="00565816">
        <w:rPr>
          <w:rFonts w:ascii="Bookman Old Style" w:eastAsiaTheme="minorEastAsia" w:hAnsi="Bookman Old Style" w:cs="Arial"/>
        </w:rPr>
        <w:t>6-W/S, HT</w:t>
      </w:r>
      <w:r w:rsidR="00213832">
        <w:rPr>
          <w:rFonts w:ascii="Bookman Old Style" w:eastAsiaTheme="minorEastAsia" w:hAnsi="Bookman Old Style" w:cs="Arial"/>
        </w:rPr>
        <w:t>-</w:t>
      </w:r>
      <w:r w:rsidRPr="00565816">
        <w:rPr>
          <w:rFonts w:ascii="Bookman Old Style" w:eastAsiaTheme="minorEastAsia" w:hAnsi="Bookman Old Style" w:cs="Arial"/>
        </w:rPr>
        <w:t>2a, HT</w:t>
      </w:r>
      <w:r w:rsidR="00213832">
        <w:rPr>
          <w:rFonts w:ascii="Bookman Old Style" w:eastAsiaTheme="minorEastAsia" w:hAnsi="Bookman Old Style" w:cs="Arial"/>
        </w:rPr>
        <w:t>-</w:t>
      </w:r>
      <w:r w:rsidRPr="00565816">
        <w:rPr>
          <w:rFonts w:ascii="Bookman Old Style" w:eastAsiaTheme="minorEastAsia" w:hAnsi="Bookman Old Style" w:cs="Arial"/>
        </w:rPr>
        <w:t>2b and HT-2c category</w:t>
      </w:r>
      <w:r>
        <w:rPr>
          <w:rFonts w:ascii="Bookman Old Style" w:eastAsiaTheme="minorEastAsia" w:hAnsi="Bookman Old Style" w:cs="Arial"/>
        </w:rPr>
        <w:t xml:space="preserve"> categories from the approved figures of the Commission, but there is an increase of 72.12 MU over the previous year FY-19. </w:t>
      </w:r>
      <w:r w:rsidRPr="00DF50D1">
        <w:rPr>
          <w:rFonts w:ascii="Bookman Old Style" w:eastAsiaTheme="minorEastAsia" w:hAnsi="Bookman Old Style" w:cs="Arial"/>
        </w:rPr>
        <w:t>Comparison betwee</w:t>
      </w:r>
      <w:r>
        <w:rPr>
          <w:rFonts w:ascii="Bookman Old Style" w:eastAsiaTheme="minorEastAsia" w:hAnsi="Bookman Old Style" w:cs="Arial"/>
        </w:rPr>
        <w:t>n the actual sales for FY</w:t>
      </w:r>
      <w:r w:rsidR="00213832">
        <w:rPr>
          <w:rFonts w:ascii="Bookman Old Style" w:eastAsiaTheme="minorEastAsia" w:hAnsi="Bookman Old Style" w:cs="Arial"/>
        </w:rPr>
        <w:t>-</w:t>
      </w:r>
      <w:r>
        <w:rPr>
          <w:rFonts w:ascii="Bookman Old Style" w:eastAsiaTheme="minorEastAsia" w:hAnsi="Bookman Old Style" w:cs="Arial"/>
        </w:rPr>
        <w:t>19 and FY-20</w:t>
      </w:r>
      <w:r w:rsidRPr="00DF50D1">
        <w:rPr>
          <w:rFonts w:ascii="Bookman Old Style" w:eastAsiaTheme="minorEastAsia" w:hAnsi="Bookman Old Style" w:cs="Arial"/>
        </w:rPr>
        <w:t xml:space="preserve"> is shown in the below table:</w:t>
      </w:r>
    </w:p>
    <w:p w:rsidR="0071396F" w:rsidRDefault="0071396F" w:rsidP="00717D3E">
      <w:pPr>
        <w:spacing w:line="360" w:lineRule="auto"/>
        <w:ind w:right="67"/>
        <w:jc w:val="both"/>
        <w:rPr>
          <w:rFonts w:ascii="Bookman Old Style" w:eastAsiaTheme="minorEastAsia" w:hAnsi="Bookman Old Style" w:cs="Arial"/>
        </w:rPr>
      </w:pPr>
    </w:p>
    <w:p w:rsidR="0071396F" w:rsidRDefault="0071396F" w:rsidP="00717D3E">
      <w:pPr>
        <w:spacing w:line="360" w:lineRule="auto"/>
        <w:ind w:right="67"/>
        <w:jc w:val="both"/>
        <w:rPr>
          <w:rFonts w:ascii="Bookman Old Style" w:eastAsiaTheme="minorEastAsia" w:hAnsi="Bookman Old Style" w:cs="Arial"/>
        </w:rPr>
      </w:pPr>
    </w:p>
    <w:p w:rsidR="00381ACE" w:rsidRPr="00A37905" w:rsidRDefault="00381ACE" w:rsidP="00294DAD">
      <w:pPr>
        <w:spacing w:line="240" w:lineRule="auto"/>
        <w:ind w:right="67"/>
        <w:jc w:val="center"/>
        <w:rPr>
          <w:rFonts w:ascii="Bookman Old Style" w:hAnsi="Bookman Old Style" w:cs="Calibri"/>
          <w:b/>
          <w:bCs/>
          <w:sz w:val="18"/>
          <w:lang w:eastAsia="en-IN"/>
        </w:rPr>
      </w:pPr>
      <w:r w:rsidRPr="00A37905">
        <w:rPr>
          <w:rFonts w:ascii="Bookman Old Style" w:eastAsiaTheme="minorEastAsia" w:hAnsi="Bookman Old Style" w:cs="Arial"/>
          <w:b/>
          <w:sz w:val="18"/>
          <w:szCs w:val="26"/>
        </w:rPr>
        <w:lastRenderedPageBreak/>
        <w:t xml:space="preserve">                                   </w:t>
      </w:r>
      <w:r w:rsidR="00A37905">
        <w:rPr>
          <w:rFonts w:ascii="Bookman Old Style" w:eastAsiaTheme="minorEastAsia" w:hAnsi="Bookman Old Style" w:cs="Arial"/>
          <w:b/>
          <w:sz w:val="18"/>
          <w:szCs w:val="26"/>
        </w:rPr>
        <w:t xml:space="preserve">         </w:t>
      </w:r>
      <w:r w:rsidRPr="00A37905">
        <w:rPr>
          <w:rFonts w:ascii="Bookman Old Style" w:eastAsiaTheme="minorEastAsia" w:hAnsi="Bookman Old Style" w:cs="Arial"/>
          <w:b/>
          <w:sz w:val="18"/>
          <w:szCs w:val="26"/>
        </w:rPr>
        <w:t xml:space="preserve">   </w:t>
      </w:r>
      <w:r w:rsidR="000B3921" w:rsidRPr="00A37905">
        <w:rPr>
          <w:rFonts w:ascii="Bookman Old Style" w:hAnsi="Bookman Old Style" w:cs="Calibri"/>
          <w:b/>
          <w:bCs/>
          <w:sz w:val="18"/>
          <w:lang w:eastAsia="en-IN"/>
        </w:rPr>
        <w:t>Table 3.</w:t>
      </w:r>
      <w:r w:rsidR="00092826" w:rsidRPr="00A37905">
        <w:rPr>
          <w:rFonts w:ascii="Bookman Old Style" w:hAnsi="Bookman Old Style" w:cs="Calibri"/>
          <w:b/>
          <w:bCs/>
          <w:sz w:val="18"/>
          <w:lang w:eastAsia="en-IN"/>
        </w:rPr>
        <w:t>6</w:t>
      </w:r>
      <w:r w:rsidRPr="00A37905">
        <w:rPr>
          <w:rFonts w:ascii="Bookman Old Style" w:eastAsiaTheme="minorEastAsia" w:hAnsi="Bookman Old Style" w:cs="Arial"/>
          <w:b/>
          <w:sz w:val="18"/>
          <w:szCs w:val="26"/>
        </w:rPr>
        <w:t xml:space="preserve">       </w:t>
      </w:r>
      <w:r w:rsidR="000B3921" w:rsidRPr="00A37905">
        <w:rPr>
          <w:rFonts w:ascii="Bookman Old Style" w:eastAsiaTheme="minorEastAsia" w:hAnsi="Bookman Old Style" w:cs="Arial"/>
          <w:b/>
          <w:sz w:val="18"/>
          <w:szCs w:val="26"/>
        </w:rPr>
        <w:t xml:space="preserve">                </w:t>
      </w:r>
      <w:r w:rsidRPr="00A37905">
        <w:rPr>
          <w:rFonts w:ascii="Bookman Old Style" w:eastAsiaTheme="minorEastAsia" w:hAnsi="Bookman Old Style" w:cs="Arial"/>
          <w:b/>
          <w:sz w:val="18"/>
          <w:szCs w:val="26"/>
        </w:rPr>
        <w:t xml:space="preserve">  Sales in MU</w:t>
      </w:r>
    </w:p>
    <w:tbl>
      <w:tblPr>
        <w:tblW w:w="6836" w:type="dxa"/>
        <w:jc w:val="center"/>
        <w:tblLook w:val="04A0" w:firstRow="1" w:lastRow="0" w:firstColumn="1" w:lastColumn="0" w:noHBand="0" w:noVBand="1"/>
      </w:tblPr>
      <w:tblGrid>
        <w:gridCol w:w="2464"/>
        <w:gridCol w:w="1496"/>
        <w:gridCol w:w="1294"/>
        <w:gridCol w:w="1582"/>
      </w:tblGrid>
      <w:tr w:rsidR="00381ACE" w:rsidRPr="0071396F" w:rsidTr="0071396F">
        <w:trPr>
          <w:trHeight w:val="288"/>
          <w:jc w:val="center"/>
        </w:trPr>
        <w:tc>
          <w:tcPr>
            <w:tcW w:w="246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center"/>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Category</w:t>
            </w:r>
          </w:p>
        </w:tc>
        <w:tc>
          <w:tcPr>
            <w:tcW w:w="1496" w:type="dxa"/>
            <w:tcBorders>
              <w:top w:val="single" w:sz="8" w:space="0" w:color="000000"/>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center"/>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FY-19</w:t>
            </w:r>
          </w:p>
        </w:tc>
        <w:tc>
          <w:tcPr>
            <w:tcW w:w="1294" w:type="dxa"/>
            <w:tcBorders>
              <w:top w:val="single" w:sz="8" w:space="0" w:color="000000"/>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center"/>
              <w:rPr>
                <w:rFonts w:ascii="Bookman Old Style" w:hAnsi="Bookman Old Style" w:cs="Calibri"/>
                <w:b/>
                <w:bCs/>
                <w:sz w:val="20"/>
                <w:szCs w:val="18"/>
                <w:lang w:eastAsia="en-IN"/>
              </w:rPr>
            </w:pPr>
            <w:r w:rsidRPr="0071396F">
              <w:rPr>
                <w:rFonts w:ascii="Bookman Old Style" w:hAnsi="Bookman Old Style" w:cs="Calibri"/>
                <w:b/>
                <w:bCs/>
                <w:sz w:val="20"/>
                <w:szCs w:val="18"/>
                <w:lang w:eastAsia="en-IN"/>
              </w:rPr>
              <w:t>FY-20</w:t>
            </w:r>
          </w:p>
        </w:tc>
        <w:tc>
          <w:tcPr>
            <w:tcW w:w="1582" w:type="dxa"/>
            <w:tcBorders>
              <w:top w:val="single" w:sz="8" w:space="0" w:color="000000"/>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center"/>
              <w:rPr>
                <w:rFonts w:ascii="Bookman Old Style" w:hAnsi="Bookman Old Style" w:cs="Calibri"/>
                <w:b/>
                <w:bCs/>
                <w:sz w:val="20"/>
                <w:szCs w:val="18"/>
                <w:lang w:eastAsia="en-IN"/>
              </w:rPr>
            </w:pPr>
            <w:r w:rsidRPr="0071396F">
              <w:rPr>
                <w:rFonts w:ascii="Bookman Old Style" w:hAnsi="Bookman Old Style" w:cs="Calibri"/>
                <w:b/>
                <w:bCs/>
                <w:sz w:val="20"/>
                <w:szCs w:val="18"/>
                <w:lang w:eastAsia="en-IN"/>
              </w:rPr>
              <w:t>Difference</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LT-2a</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6919.35</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7285.82</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366.47</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LT-2b</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51.57</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56.57</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5.00</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LT-3</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2083.65</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2240.82</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157.17</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LT-4 (b)</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1.53</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1.35</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-0.18</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LT-4 (c)</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5.08</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5.67</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0.59</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LT-5</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1243.08</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1217.67</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-25.41</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LT-6-WS</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1193.64</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1317.38</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123.74</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LT-6-SL</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499.92</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524.64</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24.72</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LT-7</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135.04</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205.45</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70.41</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HT-1</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726.15</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762.04</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35.89</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HT-2 (a)</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4512.96</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4173.06</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-339.90</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HT-2 (b)</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2448.41</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2345.62</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-102.79</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HT2C</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321.45</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331.52</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10.07</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HT-3(a)&amp; (b)</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45.67</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58.42</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12.75</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HT-4</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70.04</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78.30</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8.26</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HT-5</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85.87</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89.48</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3.61</w:t>
            </w:r>
          </w:p>
        </w:tc>
      </w:tr>
      <w:tr w:rsidR="00381ACE" w:rsidRPr="0071396F" w:rsidTr="0071396F">
        <w:trPr>
          <w:trHeight w:val="480"/>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Sub-Total other than BJ/KJ &amp; IP sets</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20343.41</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b/>
                <w:bCs/>
                <w:sz w:val="20"/>
                <w:szCs w:val="18"/>
                <w:lang w:eastAsia="en-IN"/>
              </w:rPr>
            </w:pPr>
            <w:r w:rsidRPr="0071396F">
              <w:rPr>
                <w:rFonts w:ascii="Bookman Old Style" w:hAnsi="Bookman Old Style" w:cs="Calibri"/>
                <w:b/>
                <w:bCs/>
                <w:sz w:val="20"/>
                <w:szCs w:val="18"/>
                <w:lang w:eastAsia="en-IN"/>
              </w:rPr>
              <w:t>20693.81</w:t>
            </w:r>
          </w:p>
        </w:tc>
        <w:tc>
          <w:tcPr>
            <w:tcW w:w="1582"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b/>
                <w:bCs/>
                <w:sz w:val="20"/>
                <w:szCs w:val="18"/>
                <w:lang w:eastAsia="en-IN"/>
              </w:rPr>
            </w:pPr>
            <w:r w:rsidRPr="0071396F">
              <w:rPr>
                <w:rFonts w:ascii="Bookman Old Style" w:hAnsi="Bookman Old Style" w:cs="Calibri"/>
                <w:b/>
                <w:bCs/>
                <w:sz w:val="20"/>
                <w:szCs w:val="18"/>
                <w:lang w:eastAsia="en-IN"/>
              </w:rPr>
              <w:t>350.40</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LT-1 BJ/KJ</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216.75</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224.43</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7.68</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LT4 (a)IP Sets</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color w:val="000000"/>
                <w:sz w:val="20"/>
                <w:szCs w:val="18"/>
                <w:lang w:eastAsia="en-IN"/>
              </w:rPr>
            </w:pPr>
            <w:r w:rsidRPr="0071396F">
              <w:rPr>
                <w:rFonts w:ascii="Bookman Old Style" w:hAnsi="Bookman Old Style" w:cs="Calibri"/>
                <w:color w:val="000000"/>
                <w:sz w:val="20"/>
                <w:szCs w:val="18"/>
                <w:lang w:eastAsia="en-IN"/>
              </w:rPr>
              <w:t>7202.32</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6916.36</w:t>
            </w:r>
          </w:p>
        </w:tc>
        <w:tc>
          <w:tcPr>
            <w:tcW w:w="1582" w:type="dxa"/>
            <w:tcBorders>
              <w:top w:val="nil"/>
              <w:left w:val="nil"/>
              <w:bottom w:val="single" w:sz="8" w:space="0" w:color="000000"/>
              <w:right w:val="single" w:sz="8" w:space="0" w:color="000000"/>
            </w:tcBorders>
            <w:shd w:val="clear" w:color="auto" w:fill="auto"/>
            <w:noWrap/>
            <w:vAlign w:val="center"/>
            <w:hideMark/>
          </w:tcPr>
          <w:p w:rsidR="00381ACE" w:rsidRPr="0071396F" w:rsidRDefault="00381ACE" w:rsidP="0071396F">
            <w:pPr>
              <w:spacing w:after="0" w:line="240" w:lineRule="auto"/>
              <w:ind w:right="67"/>
              <w:jc w:val="right"/>
              <w:rPr>
                <w:rFonts w:ascii="Bookman Old Style" w:hAnsi="Bookman Old Style" w:cs="Calibri"/>
                <w:sz w:val="20"/>
                <w:szCs w:val="18"/>
                <w:lang w:eastAsia="en-IN"/>
              </w:rPr>
            </w:pPr>
            <w:r w:rsidRPr="0071396F">
              <w:rPr>
                <w:rFonts w:ascii="Bookman Old Style" w:hAnsi="Bookman Old Style" w:cs="Calibri"/>
                <w:sz w:val="20"/>
                <w:szCs w:val="18"/>
                <w:lang w:eastAsia="en-IN"/>
              </w:rPr>
              <w:t>-285.96</w:t>
            </w:r>
          </w:p>
        </w:tc>
      </w:tr>
      <w:tr w:rsidR="00381ACE" w:rsidRPr="0071396F" w:rsidTr="0071396F">
        <w:trPr>
          <w:trHeight w:val="480"/>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Sub Total  BJ/KJ &amp; IP sets</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7419.07</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b/>
                <w:bCs/>
                <w:sz w:val="20"/>
                <w:szCs w:val="18"/>
                <w:lang w:eastAsia="en-IN"/>
              </w:rPr>
            </w:pPr>
            <w:r w:rsidRPr="0071396F">
              <w:rPr>
                <w:rFonts w:ascii="Bookman Old Style" w:hAnsi="Bookman Old Style" w:cs="Calibri"/>
                <w:b/>
                <w:bCs/>
                <w:sz w:val="20"/>
                <w:szCs w:val="18"/>
                <w:lang w:eastAsia="en-IN"/>
              </w:rPr>
              <w:t>7140.79</w:t>
            </w:r>
          </w:p>
        </w:tc>
        <w:tc>
          <w:tcPr>
            <w:tcW w:w="1582"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b/>
                <w:bCs/>
                <w:sz w:val="20"/>
                <w:szCs w:val="18"/>
                <w:lang w:eastAsia="en-IN"/>
              </w:rPr>
            </w:pPr>
            <w:r w:rsidRPr="0071396F">
              <w:rPr>
                <w:rFonts w:ascii="Bookman Old Style" w:hAnsi="Bookman Old Style" w:cs="Calibri"/>
                <w:b/>
                <w:bCs/>
                <w:sz w:val="20"/>
                <w:szCs w:val="18"/>
                <w:lang w:eastAsia="en-IN"/>
              </w:rPr>
              <w:t>-278.28</w:t>
            </w:r>
          </w:p>
        </w:tc>
      </w:tr>
      <w:tr w:rsidR="00381ACE" w:rsidRPr="0071396F" w:rsidTr="0071396F">
        <w:trPr>
          <w:trHeight w:val="288"/>
          <w:jc w:val="center"/>
        </w:trPr>
        <w:tc>
          <w:tcPr>
            <w:tcW w:w="2464" w:type="dxa"/>
            <w:tcBorders>
              <w:top w:val="nil"/>
              <w:left w:val="single" w:sz="8" w:space="0" w:color="000000"/>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Total</w:t>
            </w:r>
          </w:p>
        </w:tc>
        <w:tc>
          <w:tcPr>
            <w:tcW w:w="1496"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b/>
                <w:bCs/>
                <w:color w:val="000000"/>
                <w:sz w:val="20"/>
                <w:szCs w:val="18"/>
                <w:lang w:eastAsia="en-IN"/>
              </w:rPr>
            </w:pPr>
            <w:r w:rsidRPr="0071396F">
              <w:rPr>
                <w:rFonts w:ascii="Bookman Old Style" w:hAnsi="Bookman Old Style" w:cs="Calibri"/>
                <w:b/>
                <w:bCs/>
                <w:color w:val="000000"/>
                <w:sz w:val="20"/>
                <w:szCs w:val="18"/>
                <w:lang w:eastAsia="en-IN"/>
              </w:rPr>
              <w:t>27762.48</w:t>
            </w:r>
          </w:p>
        </w:tc>
        <w:tc>
          <w:tcPr>
            <w:tcW w:w="1294"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b/>
                <w:bCs/>
                <w:sz w:val="20"/>
                <w:szCs w:val="18"/>
                <w:lang w:eastAsia="en-IN"/>
              </w:rPr>
            </w:pPr>
            <w:r w:rsidRPr="0071396F">
              <w:rPr>
                <w:rFonts w:ascii="Bookman Old Style" w:hAnsi="Bookman Old Style" w:cs="Calibri"/>
                <w:b/>
                <w:bCs/>
                <w:sz w:val="20"/>
                <w:szCs w:val="18"/>
                <w:lang w:eastAsia="en-IN"/>
              </w:rPr>
              <w:t>27834.60</w:t>
            </w:r>
          </w:p>
        </w:tc>
        <w:tc>
          <w:tcPr>
            <w:tcW w:w="1582" w:type="dxa"/>
            <w:tcBorders>
              <w:top w:val="nil"/>
              <w:left w:val="nil"/>
              <w:bottom w:val="single" w:sz="8" w:space="0" w:color="000000"/>
              <w:right w:val="single" w:sz="8" w:space="0" w:color="000000"/>
            </w:tcBorders>
            <w:shd w:val="clear" w:color="auto" w:fill="auto"/>
            <w:vAlign w:val="center"/>
            <w:hideMark/>
          </w:tcPr>
          <w:p w:rsidR="00381ACE" w:rsidRPr="0071396F" w:rsidRDefault="00381ACE" w:rsidP="0071396F">
            <w:pPr>
              <w:spacing w:after="0" w:line="240" w:lineRule="auto"/>
              <w:ind w:right="67"/>
              <w:jc w:val="right"/>
              <w:rPr>
                <w:rFonts w:ascii="Bookman Old Style" w:hAnsi="Bookman Old Style" w:cs="Calibri"/>
                <w:b/>
                <w:bCs/>
                <w:sz w:val="20"/>
                <w:szCs w:val="18"/>
                <w:lang w:eastAsia="en-IN"/>
              </w:rPr>
            </w:pPr>
            <w:r w:rsidRPr="0071396F">
              <w:rPr>
                <w:rFonts w:ascii="Bookman Old Style" w:hAnsi="Bookman Old Style" w:cs="Calibri"/>
                <w:b/>
                <w:bCs/>
                <w:sz w:val="20"/>
                <w:szCs w:val="18"/>
                <w:lang w:eastAsia="en-IN"/>
              </w:rPr>
              <w:t>72.12</w:t>
            </w:r>
          </w:p>
        </w:tc>
      </w:tr>
    </w:tbl>
    <w:p w:rsidR="00381ACE" w:rsidRDefault="00381ACE" w:rsidP="00717D3E">
      <w:pPr>
        <w:spacing w:line="360" w:lineRule="auto"/>
        <w:ind w:right="67"/>
        <w:jc w:val="both"/>
        <w:rPr>
          <w:rFonts w:ascii="Bookman Old Style" w:eastAsiaTheme="minorEastAsia" w:hAnsi="Bookman Old Style" w:cs="Arial"/>
          <w:b/>
          <w:szCs w:val="26"/>
        </w:rPr>
      </w:pPr>
    </w:p>
    <w:p w:rsidR="00381ACE" w:rsidRDefault="00381ACE" w:rsidP="009D0AF5">
      <w:pPr>
        <w:spacing w:line="360" w:lineRule="auto"/>
        <w:ind w:right="67"/>
        <w:jc w:val="both"/>
        <w:rPr>
          <w:rFonts w:ascii="Bookman Old Style" w:eastAsiaTheme="minorEastAsia" w:hAnsi="Bookman Old Style" w:cs="Arial"/>
        </w:rPr>
      </w:pPr>
      <w:r>
        <w:rPr>
          <w:rFonts w:ascii="Bookman Old Style" w:eastAsiaTheme="minorEastAsia" w:hAnsi="Bookman Old Style" w:cs="Arial"/>
        </w:rPr>
        <w:t>There is</w:t>
      </w:r>
      <w:r w:rsidRPr="00DF50D1">
        <w:rPr>
          <w:rFonts w:ascii="Bookman Old Style" w:eastAsiaTheme="minorEastAsia" w:hAnsi="Bookman Old Style" w:cs="Arial"/>
        </w:rPr>
        <w:t xml:space="preserve"> </w:t>
      </w:r>
      <w:r>
        <w:rPr>
          <w:rFonts w:ascii="Bookman Old Style" w:eastAsiaTheme="minorEastAsia" w:hAnsi="Bookman Old Style" w:cs="Arial"/>
        </w:rPr>
        <w:t>inc</w:t>
      </w:r>
      <w:r w:rsidRPr="00DF50D1">
        <w:rPr>
          <w:rFonts w:ascii="Bookman Old Style" w:eastAsiaTheme="minorEastAsia" w:hAnsi="Bookman Old Style" w:cs="Arial"/>
        </w:rPr>
        <w:t xml:space="preserve">rease in the overall metered category sales over the previous years, except for </w:t>
      </w:r>
      <w:r>
        <w:rPr>
          <w:rFonts w:ascii="Bookman Old Style" w:eastAsiaTheme="minorEastAsia" w:hAnsi="Bookman Old Style" w:cs="Arial"/>
        </w:rPr>
        <w:t>LT</w:t>
      </w:r>
      <w:r w:rsidR="009D0AF5">
        <w:rPr>
          <w:rFonts w:ascii="Bookman Old Style" w:eastAsiaTheme="minorEastAsia" w:hAnsi="Bookman Old Style" w:cs="Arial"/>
        </w:rPr>
        <w:t>-</w:t>
      </w:r>
      <w:r>
        <w:rPr>
          <w:rFonts w:ascii="Bookman Old Style" w:eastAsiaTheme="minorEastAsia" w:hAnsi="Bookman Old Style" w:cs="Arial"/>
        </w:rPr>
        <w:t>5, HT</w:t>
      </w:r>
      <w:r w:rsidR="009D0AF5">
        <w:rPr>
          <w:rFonts w:ascii="Bookman Old Style" w:eastAsiaTheme="minorEastAsia" w:hAnsi="Bookman Old Style" w:cs="Arial"/>
        </w:rPr>
        <w:t>-</w:t>
      </w:r>
      <w:r>
        <w:rPr>
          <w:rFonts w:ascii="Bookman Old Style" w:eastAsiaTheme="minorEastAsia" w:hAnsi="Bookman Old Style" w:cs="Arial"/>
        </w:rPr>
        <w:t>2a,</w:t>
      </w:r>
      <w:r w:rsidR="009D0AF5">
        <w:rPr>
          <w:rFonts w:ascii="Bookman Old Style" w:eastAsiaTheme="minorEastAsia" w:hAnsi="Bookman Old Style" w:cs="Arial"/>
        </w:rPr>
        <w:t xml:space="preserve"> </w:t>
      </w:r>
      <w:r w:rsidRPr="00DF50D1">
        <w:rPr>
          <w:rFonts w:ascii="Bookman Old Style" w:eastAsiaTheme="minorEastAsia" w:hAnsi="Bookman Old Style" w:cs="Arial"/>
        </w:rPr>
        <w:t>HT</w:t>
      </w:r>
      <w:r w:rsidR="009D0AF5">
        <w:rPr>
          <w:rFonts w:ascii="Bookman Old Style" w:eastAsiaTheme="minorEastAsia" w:hAnsi="Bookman Old Style" w:cs="Arial"/>
        </w:rPr>
        <w:t>-</w:t>
      </w:r>
      <w:r w:rsidRPr="00DF50D1">
        <w:rPr>
          <w:rFonts w:ascii="Bookman Old Style" w:eastAsiaTheme="minorEastAsia" w:hAnsi="Bookman Old Style" w:cs="Arial"/>
        </w:rPr>
        <w:t>2b categor</w:t>
      </w:r>
      <w:r>
        <w:rPr>
          <w:rFonts w:ascii="Bookman Old Style" w:eastAsiaTheme="minorEastAsia" w:hAnsi="Bookman Old Style" w:cs="Arial"/>
        </w:rPr>
        <w:t>y</w:t>
      </w:r>
      <w:r w:rsidRPr="00DF50D1">
        <w:rPr>
          <w:rFonts w:ascii="Bookman Old Style" w:eastAsiaTheme="minorEastAsia" w:hAnsi="Bookman Old Style" w:cs="Arial"/>
        </w:rPr>
        <w:t xml:space="preserve">. </w:t>
      </w:r>
      <w:r>
        <w:rPr>
          <w:rFonts w:ascii="Bookman Old Style" w:eastAsiaTheme="minorEastAsia" w:hAnsi="Bookman Old Style" w:cs="Arial"/>
        </w:rPr>
        <w:t xml:space="preserve">There is also reduction in the agricultural category sales over the previous year. </w:t>
      </w:r>
    </w:p>
    <w:p w:rsidR="00381ACE" w:rsidRDefault="00381ACE" w:rsidP="00717D3E">
      <w:pPr>
        <w:spacing w:line="360" w:lineRule="auto"/>
        <w:ind w:right="67"/>
        <w:jc w:val="both"/>
        <w:rPr>
          <w:rFonts w:ascii="Bookman Old Style" w:eastAsiaTheme="minorEastAsia" w:hAnsi="Bookman Old Style" w:cs="Arial"/>
          <w:b/>
        </w:rPr>
      </w:pPr>
      <w:r w:rsidRPr="00DF50D1">
        <w:rPr>
          <w:rFonts w:ascii="Bookman Old Style" w:eastAsiaTheme="minorEastAsia" w:hAnsi="Bookman Old Style" w:cs="Arial"/>
          <w:b/>
        </w:rPr>
        <w:t>Energy Requirement:</w:t>
      </w:r>
    </w:p>
    <w:p w:rsidR="00092826" w:rsidRPr="00294DAD" w:rsidRDefault="00092826" w:rsidP="00092826">
      <w:pPr>
        <w:spacing w:line="360" w:lineRule="auto"/>
        <w:ind w:right="67"/>
        <w:jc w:val="center"/>
        <w:rPr>
          <w:rFonts w:ascii="Bookman Old Style" w:hAnsi="Bookman Old Style" w:cs="Calibri"/>
          <w:b/>
          <w:bCs/>
          <w:sz w:val="18"/>
          <w:lang w:eastAsia="en-IN"/>
        </w:rPr>
      </w:pPr>
      <w:r w:rsidRPr="00294DAD">
        <w:rPr>
          <w:rFonts w:ascii="Bookman Old Style" w:hAnsi="Bookman Old Style" w:cs="Calibri"/>
          <w:b/>
          <w:bCs/>
          <w:sz w:val="18"/>
          <w:lang w:eastAsia="en-IN"/>
        </w:rPr>
        <w:t>Table 3.7</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59"/>
        <w:gridCol w:w="1418"/>
        <w:gridCol w:w="1275"/>
      </w:tblGrid>
      <w:tr w:rsidR="00381ACE" w:rsidRPr="0071396F" w:rsidTr="00213832">
        <w:trPr>
          <w:trHeight w:val="87"/>
          <w:jc w:val="center"/>
        </w:trPr>
        <w:tc>
          <w:tcPr>
            <w:tcW w:w="4253" w:type="dxa"/>
            <w:shd w:val="clear" w:color="auto" w:fill="auto"/>
            <w:vAlign w:val="center"/>
            <w:hideMark/>
          </w:tcPr>
          <w:p w:rsidR="00381ACE" w:rsidRPr="0071396F" w:rsidRDefault="00381ACE" w:rsidP="00717D3E">
            <w:pPr>
              <w:spacing w:after="0" w:line="240" w:lineRule="auto"/>
              <w:ind w:right="67"/>
              <w:jc w:val="center"/>
              <w:rPr>
                <w:rFonts w:ascii="Bookman Old Style" w:hAnsi="Bookman Old Style" w:cs="Calibri"/>
                <w:b/>
                <w:bCs/>
                <w:color w:val="000000"/>
                <w:sz w:val="20"/>
                <w:lang w:eastAsia="en-IN"/>
              </w:rPr>
            </w:pPr>
            <w:r w:rsidRPr="0071396F">
              <w:rPr>
                <w:rFonts w:ascii="Bookman Old Style" w:hAnsi="Bookman Old Style" w:cs="Calibri"/>
                <w:b/>
                <w:bCs/>
                <w:color w:val="000000"/>
                <w:sz w:val="20"/>
                <w:lang w:eastAsia="en-IN"/>
              </w:rPr>
              <w:t>PARTICULARS</w:t>
            </w:r>
          </w:p>
        </w:tc>
        <w:tc>
          <w:tcPr>
            <w:tcW w:w="1559" w:type="dxa"/>
            <w:shd w:val="clear" w:color="auto" w:fill="auto"/>
            <w:noWrap/>
            <w:vAlign w:val="center"/>
            <w:hideMark/>
          </w:tcPr>
          <w:p w:rsidR="00381ACE" w:rsidRPr="0071396F" w:rsidRDefault="00381ACE" w:rsidP="00717D3E">
            <w:pPr>
              <w:spacing w:after="0" w:line="240" w:lineRule="auto"/>
              <w:ind w:right="67"/>
              <w:jc w:val="center"/>
              <w:rPr>
                <w:rFonts w:ascii="Bookman Old Style" w:hAnsi="Bookman Old Style" w:cs="Calibri"/>
                <w:b/>
                <w:bCs/>
                <w:color w:val="000000"/>
                <w:sz w:val="20"/>
                <w:lang w:eastAsia="en-IN"/>
              </w:rPr>
            </w:pPr>
            <w:r w:rsidRPr="0071396F">
              <w:rPr>
                <w:rFonts w:ascii="Bookman Old Style" w:hAnsi="Bookman Old Style" w:cs="Calibri"/>
                <w:b/>
                <w:bCs/>
                <w:color w:val="000000"/>
                <w:sz w:val="20"/>
                <w:lang w:eastAsia="en-IN"/>
              </w:rPr>
              <w:t>Approved</w:t>
            </w:r>
          </w:p>
        </w:tc>
        <w:tc>
          <w:tcPr>
            <w:tcW w:w="1418" w:type="dxa"/>
            <w:shd w:val="clear" w:color="auto" w:fill="auto"/>
            <w:noWrap/>
            <w:vAlign w:val="center"/>
            <w:hideMark/>
          </w:tcPr>
          <w:p w:rsidR="00381ACE" w:rsidRPr="0071396F" w:rsidRDefault="00381ACE" w:rsidP="00717D3E">
            <w:pPr>
              <w:spacing w:after="0" w:line="240" w:lineRule="auto"/>
              <w:ind w:right="67"/>
              <w:jc w:val="center"/>
              <w:rPr>
                <w:rFonts w:ascii="Bookman Old Style" w:hAnsi="Bookman Old Style" w:cs="Calibri"/>
                <w:b/>
                <w:bCs/>
                <w:sz w:val="20"/>
                <w:lang w:eastAsia="en-IN"/>
              </w:rPr>
            </w:pPr>
            <w:r w:rsidRPr="0071396F">
              <w:rPr>
                <w:rFonts w:ascii="Bookman Old Style" w:hAnsi="Bookman Old Style" w:cs="Calibri"/>
                <w:b/>
                <w:bCs/>
                <w:sz w:val="20"/>
                <w:lang w:eastAsia="en-IN"/>
              </w:rPr>
              <w:t>Actuals</w:t>
            </w:r>
          </w:p>
        </w:tc>
        <w:tc>
          <w:tcPr>
            <w:tcW w:w="1275" w:type="dxa"/>
            <w:shd w:val="clear" w:color="auto" w:fill="auto"/>
            <w:noWrap/>
            <w:vAlign w:val="center"/>
            <w:hideMark/>
          </w:tcPr>
          <w:p w:rsidR="00381ACE" w:rsidRPr="0071396F" w:rsidRDefault="00381ACE" w:rsidP="00717D3E">
            <w:pPr>
              <w:spacing w:after="0" w:line="240" w:lineRule="auto"/>
              <w:ind w:right="67"/>
              <w:jc w:val="center"/>
              <w:rPr>
                <w:rFonts w:ascii="Bookman Old Style" w:hAnsi="Bookman Old Style" w:cs="Calibri"/>
                <w:b/>
                <w:bCs/>
                <w:sz w:val="20"/>
                <w:lang w:eastAsia="en-IN"/>
              </w:rPr>
            </w:pPr>
            <w:r w:rsidRPr="0071396F">
              <w:rPr>
                <w:rFonts w:ascii="Bookman Old Style" w:hAnsi="Bookman Old Style" w:cs="Calibri"/>
                <w:b/>
                <w:bCs/>
                <w:sz w:val="20"/>
                <w:lang w:eastAsia="en-IN"/>
              </w:rPr>
              <w:t>Variation</w:t>
            </w:r>
          </w:p>
        </w:tc>
      </w:tr>
      <w:tr w:rsidR="00381ACE" w:rsidRPr="0071396F" w:rsidTr="00213832">
        <w:trPr>
          <w:trHeight w:val="87"/>
          <w:jc w:val="center"/>
        </w:trPr>
        <w:tc>
          <w:tcPr>
            <w:tcW w:w="4253" w:type="dxa"/>
            <w:shd w:val="clear" w:color="auto" w:fill="auto"/>
            <w:vAlign w:val="center"/>
            <w:hideMark/>
          </w:tcPr>
          <w:p w:rsidR="00381ACE" w:rsidRPr="0071396F" w:rsidRDefault="00381ACE" w:rsidP="00717D3E">
            <w:pPr>
              <w:spacing w:after="0" w:line="240" w:lineRule="auto"/>
              <w:ind w:right="67"/>
              <w:rPr>
                <w:rFonts w:ascii="Bookman Old Style" w:hAnsi="Bookman Old Style" w:cs="Calibri"/>
                <w:color w:val="000000"/>
                <w:sz w:val="20"/>
                <w:lang w:eastAsia="en-IN"/>
              </w:rPr>
            </w:pPr>
            <w:r w:rsidRPr="0071396F">
              <w:rPr>
                <w:rFonts w:ascii="Bookman Old Style" w:hAnsi="Bookman Old Style" w:cs="Calibri"/>
                <w:color w:val="000000"/>
                <w:sz w:val="20"/>
                <w:lang w:eastAsia="en-IN"/>
              </w:rPr>
              <w:t>Sales in MU</w:t>
            </w:r>
          </w:p>
        </w:tc>
        <w:tc>
          <w:tcPr>
            <w:tcW w:w="1559" w:type="dxa"/>
            <w:shd w:val="clear" w:color="auto" w:fill="auto"/>
            <w:noWrap/>
            <w:vAlign w:val="bottom"/>
            <w:hideMark/>
          </w:tcPr>
          <w:p w:rsidR="00381ACE" w:rsidRPr="0071396F" w:rsidRDefault="00381ACE" w:rsidP="00717D3E">
            <w:pPr>
              <w:spacing w:after="0" w:line="240" w:lineRule="auto"/>
              <w:ind w:right="67"/>
              <w:jc w:val="right"/>
              <w:rPr>
                <w:rFonts w:ascii="Bookman Old Style" w:hAnsi="Bookman Old Style" w:cs="Calibri"/>
                <w:bCs/>
                <w:color w:val="000000"/>
                <w:sz w:val="20"/>
                <w:lang w:eastAsia="en-IN"/>
              </w:rPr>
            </w:pPr>
            <w:r w:rsidRPr="0071396F">
              <w:rPr>
                <w:rFonts w:ascii="Bookman Old Style" w:hAnsi="Bookman Old Style" w:cs="Calibri"/>
                <w:bCs/>
                <w:color w:val="000000"/>
                <w:sz w:val="20"/>
                <w:lang w:eastAsia="en-IN"/>
              </w:rPr>
              <w:t>28858.33</w:t>
            </w:r>
          </w:p>
        </w:tc>
        <w:tc>
          <w:tcPr>
            <w:tcW w:w="1418"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bCs/>
                <w:color w:val="000000"/>
                <w:sz w:val="20"/>
                <w:lang w:eastAsia="en-IN"/>
              </w:rPr>
            </w:pPr>
            <w:r w:rsidRPr="0071396F">
              <w:rPr>
                <w:rFonts w:ascii="Bookman Old Style" w:hAnsi="Bookman Old Style" w:cs="Calibri"/>
                <w:bCs/>
                <w:color w:val="000000"/>
                <w:sz w:val="20"/>
                <w:lang w:eastAsia="en-IN"/>
              </w:rPr>
              <w:t>27834.6</w:t>
            </w:r>
          </w:p>
        </w:tc>
        <w:tc>
          <w:tcPr>
            <w:tcW w:w="1275"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sz w:val="20"/>
                <w:lang w:eastAsia="en-IN"/>
              </w:rPr>
            </w:pPr>
            <w:r w:rsidRPr="0071396F">
              <w:rPr>
                <w:rFonts w:ascii="Bookman Old Style" w:hAnsi="Bookman Old Style" w:cs="Calibri"/>
                <w:sz w:val="20"/>
                <w:lang w:eastAsia="en-IN"/>
              </w:rPr>
              <w:t>1023.73</w:t>
            </w:r>
          </w:p>
        </w:tc>
      </w:tr>
      <w:tr w:rsidR="00381ACE" w:rsidRPr="0071396F" w:rsidTr="00213832">
        <w:trPr>
          <w:trHeight w:val="242"/>
          <w:jc w:val="center"/>
        </w:trPr>
        <w:tc>
          <w:tcPr>
            <w:tcW w:w="4253" w:type="dxa"/>
            <w:shd w:val="clear" w:color="auto" w:fill="auto"/>
            <w:vAlign w:val="center"/>
            <w:hideMark/>
          </w:tcPr>
          <w:p w:rsidR="00381ACE" w:rsidRPr="0071396F" w:rsidRDefault="00381ACE" w:rsidP="00717D3E">
            <w:pPr>
              <w:spacing w:after="0" w:line="240" w:lineRule="auto"/>
              <w:ind w:right="67"/>
              <w:rPr>
                <w:rFonts w:ascii="Bookman Old Style" w:hAnsi="Bookman Old Style" w:cs="Calibri"/>
                <w:color w:val="000000"/>
                <w:sz w:val="20"/>
                <w:lang w:eastAsia="en-IN"/>
              </w:rPr>
            </w:pPr>
            <w:r w:rsidRPr="0071396F">
              <w:rPr>
                <w:rFonts w:ascii="Bookman Old Style" w:hAnsi="Bookman Old Style" w:cs="Calibri"/>
                <w:color w:val="000000"/>
                <w:sz w:val="20"/>
                <w:lang w:eastAsia="en-IN"/>
              </w:rPr>
              <w:t>Percentage distribution losses in %</w:t>
            </w:r>
          </w:p>
        </w:tc>
        <w:tc>
          <w:tcPr>
            <w:tcW w:w="1559"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color w:val="000000"/>
                <w:sz w:val="20"/>
                <w:lang w:eastAsia="en-IN"/>
              </w:rPr>
            </w:pPr>
            <w:r w:rsidRPr="0071396F">
              <w:rPr>
                <w:rFonts w:ascii="Bookman Old Style" w:hAnsi="Bookman Old Style" w:cs="Calibri"/>
                <w:color w:val="000000"/>
                <w:sz w:val="20"/>
                <w:lang w:eastAsia="en-IN"/>
              </w:rPr>
              <w:t>12.25</w:t>
            </w:r>
          </w:p>
        </w:tc>
        <w:tc>
          <w:tcPr>
            <w:tcW w:w="1418"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color w:val="000000"/>
                <w:sz w:val="20"/>
                <w:lang w:eastAsia="en-IN"/>
              </w:rPr>
            </w:pPr>
            <w:r w:rsidRPr="0071396F">
              <w:rPr>
                <w:rFonts w:ascii="Bookman Old Style" w:hAnsi="Bookman Old Style" w:cs="Calibri"/>
                <w:color w:val="000000"/>
                <w:sz w:val="20"/>
                <w:lang w:eastAsia="en-IN"/>
              </w:rPr>
              <w:t>11.99</w:t>
            </w:r>
          </w:p>
        </w:tc>
        <w:tc>
          <w:tcPr>
            <w:tcW w:w="1275"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sz w:val="20"/>
                <w:lang w:eastAsia="en-IN"/>
              </w:rPr>
            </w:pPr>
            <w:r w:rsidRPr="0071396F">
              <w:rPr>
                <w:rFonts w:ascii="Bookman Old Style" w:hAnsi="Bookman Old Style" w:cs="Calibri"/>
                <w:sz w:val="20"/>
                <w:lang w:eastAsia="en-IN"/>
              </w:rPr>
              <w:t>0.26</w:t>
            </w:r>
          </w:p>
        </w:tc>
      </w:tr>
      <w:tr w:rsidR="00381ACE" w:rsidRPr="0071396F" w:rsidTr="00213832">
        <w:trPr>
          <w:trHeight w:val="310"/>
          <w:jc w:val="center"/>
        </w:trPr>
        <w:tc>
          <w:tcPr>
            <w:tcW w:w="4253" w:type="dxa"/>
            <w:shd w:val="clear" w:color="auto" w:fill="auto"/>
            <w:vAlign w:val="center"/>
            <w:hideMark/>
          </w:tcPr>
          <w:p w:rsidR="00381ACE" w:rsidRPr="0071396F" w:rsidRDefault="00381ACE" w:rsidP="00717D3E">
            <w:pPr>
              <w:spacing w:after="0" w:line="240" w:lineRule="auto"/>
              <w:ind w:right="67"/>
              <w:rPr>
                <w:rFonts w:ascii="Bookman Old Style" w:hAnsi="Bookman Old Style" w:cs="Calibri"/>
                <w:color w:val="000000"/>
                <w:sz w:val="20"/>
                <w:lang w:eastAsia="en-IN"/>
              </w:rPr>
            </w:pPr>
            <w:r w:rsidRPr="0071396F">
              <w:rPr>
                <w:rFonts w:ascii="Bookman Old Style" w:hAnsi="Bookman Old Style" w:cs="Calibri"/>
                <w:color w:val="000000"/>
                <w:sz w:val="20"/>
                <w:lang w:eastAsia="en-IN"/>
              </w:rPr>
              <w:t>Distribution losses in  MU</w:t>
            </w:r>
          </w:p>
        </w:tc>
        <w:tc>
          <w:tcPr>
            <w:tcW w:w="1559"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sz w:val="20"/>
                <w:lang w:eastAsia="en-IN"/>
              </w:rPr>
            </w:pPr>
            <w:r w:rsidRPr="0071396F">
              <w:rPr>
                <w:rFonts w:ascii="Bookman Old Style" w:hAnsi="Bookman Old Style" w:cs="Calibri"/>
                <w:sz w:val="20"/>
                <w:lang w:eastAsia="en-IN"/>
              </w:rPr>
              <w:t>4028.66</w:t>
            </w:r>
          </w:p>
        </w:tc>
        <w:tc>
          <w:tcPr>
            <w:tcW w:w="1418"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sz w:val="20"/>
                <w:lang w:eastAsia="en-IN"/>
              </w:rPr>
            </w:pPr>
            <w:r w:rsidRPr="0071396F">
              <w:rPr>
                <w:rFonts w:ascii="Bookman Old Style" w:hAnsi="Bookman Old Style" w:cs="Calibri"/>
                <w:sz w:val="20"/>
                <w:lang w:eastAsia="en-IN"/>
              </w:rPr>
              <w:t>3791.13</w:t>
            </w:r>
          </w:p>
        </w:tc>
        <w:tc>
          <w:tcPr>
            <w:tcW w:w="1275"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sz w:val="20"/>
                <w:lang w:eastAsia="en-IN"/>
              </w:rPr>
            </w:pPr>
            <w:r w:rsidRPr="0071396F">
              <w:rPr>
                <w:rFonts w:ascii="Bookman Old Style" w:hAnsi="Bookman Old Style" w:cs="Calibri"/>
                <w:sz w:val="20"/>
                <w:lang w:eastAsia="en-IN"/>
              </w:rPr>
              <w:t>237.53</w:t>
            </w:r>
          </w:p>
        </w:tc>
      </w:tr>
      <w:tr w:rsidR="00381ACE" w:rsidRPr="0071396F" w:rsidTr="00213832">
        <w:trPr>
          <w:trHeight w:val="409"/>
          <w:jc w:val="center"/>
        </w:trPr>
        <w:tc>
          <w:tcPr>
            <w:tcW w:w="4253" w:type="dxa"/>
            <w:shd w:val="clear" w:color="auto" w:fill="auto"/>
            <w:vAlign w:val="center"/>
            <w:hideMark/>
          </w:tcPr>
          <w:p w:rsidR="00381ACE" w:rsidRPr="0071396F" w:rsidRDefault="00381ACE" w:rsidP="00717D3E">
            <w:pPr>
              <w:spacing w:after="0" w:line="240" w:lineRule="auto"/>
              <w:ind w:right="67"/>
              <w:rPr>
                <w:rFonts w:ascii="Bookman Old Style" w:hAnsi="Bookman Old Style" w:cs="Calibri"/>
                <w:color w:val="000000"/>
                <w:sz w:val="20"/>
                <w:lang w:eastAsia="en-IN"/>
              </w:rPr>
            </w:pPr>
            <w:r w:rsidRPr="0071396F">
              <w:rPr>
                <w:rFonts w:ascii="Bookman Old Style" w:hAnsi="Bookman Old Style" w:cs="Calibri"/>
                <w:color w:val="000000"/>
                <w:sz w:val="20"/>
                <w:lang w:eastAsia="en-IN"/>
              </w:rPr>
              <w:t>Energy at interface point in MU</w:t>
            </w:r>
          </w:p>
        </w:tc>
        <w:tc>
          <w:tcPr>
            <w:tcW w:w="1559"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color w:val="000000"/>
                <w:sz w:val="20"/>
                <w:lang w:eastAsia="en-IN"/>
              </w:rPr>
            </w:pPr>
            <w:r w:rsidRPr="0071396F">
              <w:rPr>
                <w:rFonts w:ascii="Bookman Old Style" w:hAnsi="Bookman Old Style" w:cs="Calibri"/>
                <w:color w:val="000000"/>
                <w:sz w:val="20"/>
                <w:lang w:eastAsia="en-IN"/>
              </w:rPr>
              <w:t>32886.99</w:t>
            </w:r>
          </w:p>
        </w:tc>
        <w:tc>
          <w:tcPr>
            <w:tcW w:w="1418"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color w:val="000000"/>
                <w:sz w:val="20"/>
                <w:lang w:eastAsia="en-IN"/>
              </w:rPr>
            </w:pPr>
            <w:r w:rsidRPr="0071396F">
              <w:rPr>
                <w:rFonts w:ascii="Bookman Old Style" w:hAnsi="Bookman Old Style" w:cs="Calibri"/>
                <w:color w:val="000000"/>
                <w:sz w:val="20"/>
                <w:lang w:eastAsia="en-IN"/>
              </w:rPr>
              <w:t>31625.73</w:t>
            </w:r>
          </w:p>
        </w:tc>
        <w:tc>
          <w:tcPr>
            <w:tcW w:w="1275"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sz w:val="20"/>
                <w:lang w:eastAsia="en-IN"/>
              </w:rPr>
            </w:pPr>
            <w:r w:rsidRPr="0071396F">
              <w:rPr>
                <w:rFonts w:ascii="Bookman Old Style" w:hAnsi="Bookman Old Style" w:cs="Calibri"/>
                <w:sz w:val="20"/>
                <w:lang w:eastAsia="en-IN"/>
              </w:rPr>
              <w:t>1261.26</w:t>
            </w:r>
          </w:p>
        </w:tc>
      </w:tr>
      <w:tr w:rsidR="00381ACE" w:rsidRPr="0071396F" w:rsidTr="00213832">
        <w:trPr>
          <w:trHeight w:val="242"/>
          <w:jc w:val="center"/>
        </w:trPr>
        <w:tc>
          <w:tcPr>
            <w:tcW w:w="4253" w:type="dxa"/>
            <w:shd w:val="clear" w:color="auto" w:fill="auto"/>
            <w:vAlign w:val="center"/>
            <w:hideMark/>
          </w:tcPr>
          <w:p w:rsidR="00381ACE" w:rsidRPr="0071396F" w:rsidRDefault="00381ACE" w:rsidP="00717D3E">
            <w:pPr>
              <w:spacing w:after="0" w:line="240" w:lineRule="auto"/>
              <w:ind w:right="67"/>
              <w:rPr>
                <w:rFonts w:ascii="Bookman Old Style" w:hAnsi="Bookman Old Style" w:cs="Calibri"/>
                <w:color w:val="000000"/>
                <w:sz w:val="20"/>
                <w:lang w:eastAsia="en-IN"/>
              </w:rPr>
            </w:pPr>
            <w:r w:rsidRPr="0071396F">
              <w:rPr>
                <w:rFonts w:ascii="Bookman Old Style" w:hAnsi="Bookman Old Style" w:cs="Calibri"/>
                <w:color w:val="000000"/>
                <w:sz w:val="20"/>
                <w:lang w:eastAsia="en-IN"/>
              </w:rPr>
              <w:t>Percentage transmission losses in %</w:t>
            </w:r>
          </w:p>
        </w:tc>
        <w:tc>
          <w:tcPr>
            <w:tcW w:w="1559" w:type="dxa"/>
            <w:shd w:val="clear" w:color="auto" w:fill="auto"/>
            <w:noWrap/>
            <w:vAlign w:val="center"/>
            <w:hideMark/>
          </w:tcPr>
          <w:p w:rsidR="00381ACE" w:rsidRPr="0071396F" w:rsidRDefault="00381ACE" w:rsidP="0068707F">
            <w:pPr>
              <w:spacing w:after="0" w:line="240" w:lineRule="auto"/>
              <w:ind w:right="67"/>
              <w:jc w:val="right"/>
              <w:rPr>
                <w:rFonts w:ascii="Bookman Old Style" w:hAnsi="Bookman Old Style" w:cs="Calibri"/>
                <w:color w:val="000000"/>
                <w:sz w:val="20"/>
                <w:lang w:eastAsia="en-IN"/>
              </w:rPr>
            </w:pPr>
            <w:r w:rsidRPr="0071396F">
              <w:rPr>
                <w:rFonts w:ascii="Bookman Old Style" w:hAnsi="Bookman Old Style" w:cs="Calibri"/>
                <w:color w:val="000000"/>
                <w:sz w:val="20"/>
                <w:lang w:eastAsia="en-IN"/>
              </w:rPr>
              <w:t>3.</w:t>
            </w:r>
            <w:r w:rsidR="0068707F">
              <w:rPr>
                <w:rFonts w:ascii="Bookman Old Style" w:hAnsi="Bookman Old Style" w:cs="Calibri"/>
                <w:color w:val="000000"/>
                <w:sz w:val="20"/>
                <w:lang w:eastAsia="en-IN"/>
              </w:rPr>
              <w:t>162</w:t>
            </w:r>
          </w:p>
        </w:tc>
        <w:tc>
          <w:tcPr>
            <w:tcW w:w="1418"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color w:val="000000"/>
                <w:sz w:val="20"/>
                <w:lang w:eastAsia="en-IN"/>
              </w:rPr>
            </w:pPr>
            <w:r w:rsidRPr="0071396F">
              <w:rPr>
                <w:rFonts w:ascii="Bookman Old Style" w:hAnsi="Bookman Old Style" w:cs="Calibri"/>
                <w:color w:val="000000"/>
                <w:sz w:val="20"/>
                <w:lang w:eastAsia="en-IN"/>
              </w:rPr>
              <w:t>2.37</w:t>
            </w:r>
          </w:p>
        </w:tc>
        <w:tc>
          <w:tcPr>
            <w:tcW w:w="1275"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sz w:val="20"/>
                <w:lang w:eastAsia="en-IN"/>
              </w:rPr>
            </w:pPr>
            <w:r w:rsidRPr="0071396F">
              <w:rPr>
                <w:rFonts w:ascii="Bookman Old Style" w:hAnsi="Bookman Old Style" w:cs="Calibri"/>
                <w:sz w:val="20"/>
                <w:lang w:eastAsia="en-IN"/>
              </w:rPr>
              <w:t>0.79</w:t>
            </w:r>
          </w:p>
        </w:tc>
      </w:tr>
      <w:tr w:rsidR="00381ACE" w:rsidRPr="0071396F" w:rsidTr="00213832">
        <w:trPr>
          <w:trHeight w:val="469"/>
          <w:jc w:val="center"/>
        </w:trPr>
        <w:tc>
          <w:tcPr>
            <w:tcW w:w="4253" w:type="dxa"/>
            <w:shd w:val="clear" w:color="auto" w:fill="auto"/>
            <w:vAlign w:val="center"/>
            <w:hideMark/>
          </w:tcPr>
          <w:p w:rsidR="00381ACE" w:rsidRPr="0071396F" w:rsidRDefault="00381ACE" w:rsidP="00717D3E">
            <w:pPr>
              <w:spacing w:after="0" w:line="240" w:lineRule="auto"/>
              <w:ind w:right="67"/>
              <w:rPr>
                <w:rFonts w:ascii="Bookman Old Style" w:hAnsi="Bookman Old Style" w:cs="Calibri"/>
                <w:color w:val="000000"/>
                <w:sz w:val="20"/>
                <w:lang w:eastAsia="en-IN"/>
              </w:rPr>
            </w:pPr>
            <w:r w:rsidRPr="0071396F">
              <w:rPr>
                <w:rFonts w:ascii="Bookman Old Style" w:hAnsi="Bookman Old Style" w:cs="Calibri"/>
                <w:color w:val="000000"/>
                <w:sz w:val="20"/>
                <w:lang w:eastAsia="en-IN"/>
              </w:rPr>
              <w:t>Total energy requirement in MU</w:t>
            </w:r>
          </w:p>
        </w:tc>
        <w:tc>
          <w:tcPr>
            <w:tcW w:w="1559"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sz w:val="20"/>
                <w:lang w:eastAsia="en-IN"/>
              </w:rPr>
            </w:pPr>
            <w:r w:rsidRPr="0071396F">
              <w:rPr>
                <w:rFonts w:ascii="Bookman Old Style" w:hAnsi="Bookman Old Style" w:cs="Calibri"/>
                <w:sz w:val="20"/>
                <w:lang w:eastAsia="en-IN"/>
              </w:rPr>
              <w:t>33960.83</w:t>
            </w:r>
          </w:p>
        </w:tc>
        <w:tc>
          <w:tcPr>
            <w:tcW w:w="1418"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sz w:val="20"/>
                <w:lang w:eastAsia="en-IN"/>
              </w:rPr>
            </w:pPr>
            <w:r w:rsidRPr="0071396F">
              <w:rPr>
                <w:rFonts w:ascii="Bookman Old Style" w:hAnsi="Bookman Old Style" w:cs="Calibri"/>
                <w:sz w:val="20"/>
                <w:lang w:eastAsia="en-IN"/>
              </w:rPr>
              <w:t>32392.69</w:t>
            </w:r>
          </w:p>
        </w:tc>
        <w:tc>
          <w:tcPr>
            <w:tcW w:w="1275" w:type="dxa"/>
            <w:shd w:val="clear" w:color="auto" w:fill="auto"/>
            <w:noWrap/>
            <w:vAlign w:val="center"/>
            <w:hideMark/>
          </w:tcPr>
          <w:p w:rsidR="00381ACE" w:rsidRPr="0071396F" w:rsidRDefault="00381ACE" w:rsidP="00717D3E">
            <w:pPr>
              <w:spacing w:after="0" w:line="240" w:lineRule="auto"/>
              <w:ind w:right="67"/>
              <w:jc w:val="right"/>
              <w:rPr>
                <w:rFonts w:ascii="Bookman Old Style" w:hAnsi="Bookman Old Style" w:cs="Calibri"/>
                <w:sz w:val="20"/>
                <w:lang w:eastAsia="en-IN"/>
              </w:rPr>
            </w:pPr>
            <w:r w:rsidRPr="0071396F">
              <w:rPr>
                <w:rFonts w:ascii="Bookman Old Style" w:hAnsi="Bookman Old Style" w:cs="Calibri"/>
                <w:sz w:val="20"/>
                <w:lang w:eastAsia="en-IN"/>
              </w:rPr>
              <w:t>1568.14</w:t>
            </w:r>
          </w:p>
        </w:tc>
      </w:tr>
    </w:tbl>
    <w:p w:rsidR="00381ACE" w:rsidRDefault="00381ACE" w:rsidP="00717D3E">
      <w:pPr>
        <w:spacing w:line="360" w:lineRule="auto"/>
        <w:ind w:right="67"/>
        <w:jc w:val="both"/>
        <w:rPr>
          <w:rFonts w:ascii="Bookman Old Style" w:eastAsiaTheme="minorEastAsia" w:hAnsi="Bookman Old Style" w:cs="Arial"/>
        </w:rPr>
      </w:pPr>
    </w:p>
    <w:p w:rsidR="00381ACE" w:rsidRDefault="00381ACE" w:rsidP="00717D3E">
      <w:pPr>
        <w:spacing w:line="360" w:lineRule="auto"/>
        <w:ind w:right="67"/>
        <w:jc w:val="both"/>
        <w:rPr>
          <w:rFonts w:ascii="Bookman Old Style" w:eastAsiaTheme="minorEastAsia" w:hAnsi="Bookman Old Style" w:cs="Arial"/>
        </w:rPr>
      </w:pPr>
      <w:r w:rsidRPr="00B00C9D">
        <w:rPr>
          <w:rFonts w:ascii="Bookman Old Style" w:eastAsiaTheme="minorEastAsia" w:hAnsi="Bookman Old Style" w:cs="Arial"/>
        </w:rPr>
        <w:lastRenderedPageBreak/>
        <w:t xml:space="preserve">From the above table, it can be seen that BESCOM has purchased </w:t>
      </w:r>
      <w:r>
        <w:rPr>
          <w:rFonts w:ascii="Bookman Old Style" w:hAnsi="Bookman Old Style" w:cs="Calibri"/>
          <w:lang w:eastAsia="en-IN"/>
        </w:rPr>
        <w:t xml:space="preserve">32392.69 </w:t>
      </w:r>
      <w:r w:rsidRPr="00B00C9D">
        <w:rPr>
          <w:rFonts w:ascii="Bookman Old Style" w:eastAsiaTheme="minorEastAsia" w:hAnsi="Bookman Old Style" w:cs="Arial"/>
        </w:rPr>
        <w:t xml:space="preserve">MU as per the annual accounts, which is </w:t>
      </w:r>
      <w:r>
        <w:rPr>
          <w:rFonts w:ascii="Bookman Old Style" w:eastAsiaTheme="minorEastAsia" w:hAnsi="Bookman Old Style" w:cs="Arial"/>
        </w:rPr>
        <w:t>less</w:t>
      </w:r>
      <w:r w:rsidRPr="00B00C9D">
        <w:rPr>
          <w:rFonts w:ascii="Bookman Old Style" w:eastAsiaTheme="minorEastAsia" w:hAnsi="Bookman Old Style" w:cs="Arial"/>
        </w:rPr>
        <w:t xml:space="preserve"> by </w:t>
      </w:r>
      <w:r>
        <w:rPr>
          <w:rFonts w:ascii="Bookman Old Style" w:eastAsiaTheme="minorEastAsia" w:hAnsi="Bookman Old Style" w:cs="Arial"/>
        </w:rPr>
        <w:t>1568.14</w:t>
      </w:r>
      <w:r w:rsidRPr="00B00C9D">
        <w:rPr>
          <w:rFonts w:ascii="Bookman Old Style" w:eastAsiaTheme="minorEastAsia" w:hAnsi="Bookman Old Style" w:cs="Arial"/>
        </w:rPr>
        <w:t xml:space="preserve"> MU compared to the approved quantum of power purchase i.e., </w:t>
      </w:r>
      <w:r>
        <w:rPr>
          <w:rFonts w:ascii="Bookman Old Style" w:eastAsiaTheme="minorEastAsia" w:hAnsi="Bookman Old Style" w:cs="Arial"/>
        </w:rPr>
        <w:t xml:space="preserve">33960.83 </w:t>
      </w:r>
      <w:r w:rsidRPr="00B00C9D">
        <w:rPr>
          <w:rFonts w:ascii="Bookman Old Style" w:eastAsiaTheme="minorEastAsia" w:hAnsi="Bookman Old Style" w:cs="Arial"/>
        </w:rPr>
        <w:t xml:space="preserve">MU. From the above table, it can also be seen that there is reduction in the energy sales of BESCOM by </w:t>
      </w:r>
      <w:r>
        <w:rPr>
          <w:rFonts w:ascii="Bookman Old Style" w:eastAsiaTheme="minorEastAsia" w:hAnsi="Bookman Old Style" w:cs="Arial"/>
        </w:rPr>
        <w:t>1023.73</w:t>
      </w:r>
      <w:r w:rsidRPr="00B00C9D">
        <w:rPr>
          <w:rFonts w:ascii="Bookman Old Style" w:eastAsiaTheme="minorEastAsia" w:hAnsi="Bookman Old Style" w:cs="Arial"/>
        </w:rPr>
        <w:t xml:space="preserve"> MU as against the approved energy sales of </w:t>
      </w:r>
      <w:r>
        <w:rPr>
          <w:rFonts w:ascii="Bookman Old Style" w:eastAsiaTheme="minorEastAsia" w:hAnsi="Bookman Old Style" w:cs="Arial"/>
        </w:rPr>
        <w:t>28858.33</w:t>
      </w:r>
      <w:r w:rsidRPr="00B00C9D">
        <w:rPr>
          <w:rFonts w:ascii="Bookman Old Style" w:eastAsiaTheme="minorEastAsia" w:hAnsi="Bookman Old Style" w:cs="Arial"/>
        </w:rPr>
        <w:t xml:space="preserve"> MU.</w:t>
      </w:r>
      <w:r w:rsidR="0068707F">
        <w:rPr>
          <w:rFonts w:ascii="Bookman Old Style" w:eastAsiaTheme="minorEastAsia" w:hAnsi="Bookman Old Style" w:cs="Arial"/>
        </w:rPr>
        <w:t xml:space="preserve"> The distribution loss for FY-20 as per actuals is 11.99%.</w:t>
      </w:r>
    </w:p>
    <w:p w:rsidR="007D2175" w:rsidRPr="007D2175" w:rsidRDefault="007D2175" w:rsidP="007D2175">
      <w:pPr>
        <w:spacing w:line="360" w:lineRule="auto"/>
        <w:ind w:right="67"/>
        <w:jc w:val="both"/>
        <w:rPr>
          <w:rFonts w:ascii="Bookman Old Style" w:eastAsiaTheme="minorEastAsia" w:hAnsi="Bookman Old Style" w:cs="Arial"/>
          <w:b/>
        </w:rPr>
      </w:pPr>
      <w:r w:rsidRPr="007D2175">
        <w:rPr>
          <w:rFonts w:ascii="Bookman Old Style" w:eastAsiaTheme="minorEastAsia" w:hAnsi="Bookman Old Style" w:cs="Arial"/>
          <w:b/>
        </w:rPr>
        <w:t>Incentive for reduction in distribution loss:</w:t>
      </w:r>
    </w:p>
    <w:p w:rsidR="007D2175" w:rsidRDefault="007D2175" w:rsidP="007D2175">
      <w:pPr>
        <w:spacing w:line="360" w:lineRule="auto"/>
        <w:ind w:right="67"/>
        <w:jc w:val="both"/>
        <w:rPr>
          <w:rFonts w:ascii="Bookman Old Style" w:eastAsiaTheme="minorEastAsia" w:hAnsi="Bookman Old Style" w:cs="Arial"/>
        </w:rPr>
      </w:pPr>
      <w:r w:rsidRPr="007D2175">
        <w:rPr>
          <w:rFonts w:ascii="Bookman Old Style" w:eastAsiaTheme="minorEastAsia" w:hAnsi="Bookman Old Style" w:cs="Arial"/>
        </w:rPr>
        <w:t>A</w:t>
      </w:r>
      <w:r>
        <w:rPr>
          <w:rFonts w:ascii="Bookman Old Style" w:eastAsiaTheme="minorEastAsia" w:hAnsi="Bookman Old Style" w:cs="Arial"/>
        </w:rPr>
        <w:t>s</w:t>
      </w:r>
      <w:r w:rsidR="0068707F">
        <w:rPr>
          <w:rFonts w:ascii="Bookman Old Style" w:eastAsiaTheme="minorEastAsia" w:hAnsi="Bookman Old Style" w:cs="Arial"/>
        </w:rPr>
        <w:t xml:space="preserve"> </w:t>
      </w:r>
      <w:r w:rsidRPr="007D2175">
        <w:rPr>
          <w:rFonts w:ascii="Bookman Old Style" w:eastAsiaTheme="minorEastAsia" w:hAnsi="Bookman Old Style" w:cs="Arial"/>
        </w:rPr>
        <w:t>per MYT regulations, Licensee has to submit the range of distribution losses (upper and lower) for each year of the Control Period for the purpose of incentive/ penalties. BESCOM for FY-20 is below the range of distribution loss approved by the Hon'ble Commission. The approved distribution loss for FY-20 as per Tariff Order 2019, dtd</w:t>
      </w:r>
      <w:r w:rsidR="0068707F">
        <w:rPr>
          <w:rFonts w:ascii="Bookman Old Style" w:eastAsiaTheme="minorEastAsia" w:hAnsi="Bookman Old Style" w:cs="Arial"/>
        </w:rPr>
        <w:t>:</w:t>
      </w:r>
      <w:r w:rsidRPr="007D2175">
        <w:rPr>
          <w:rFonts w:ascii="Bookman Old Style" w:eastAsiaTheme="minorEastAsia" w:hAnsi="Bookman Old Style" w:cs="Arial"/>
        </w:rPr>
        <w:t>30.05.2019 is shown in the below table:</w:t>
      </w:r>
    </w:p>
    <w:p w:rsidR="00D1249F" w:rsidRPr="00D1249F" w:rsidRDefault="00D1249F" w:rsidP="00D1249F">
      <w:pPr>
        <w:spacing w:line="360" w:lineRule="auto"/>
        <w:ind w:right="67"/>
        <w:jc w:val="center"/>
        <w:rPr>
          <w:rFonts w:ascii="Bookman Old Style" w:hAnsi="Bookman Old Style" w:cs="Calibri"/>
          <w:b/>
          <w:bCs/>
          <w:sz w:val="18"/>
          <w:lang w:eastAsia="en-IN"/>
        </w:rPr>
      </w:pPr>
      <w:r>
        <w:rPr>
          <w:rFonts w:ascii="Bookman Old Style" w:hAnsi="Bookman Old Style" w:cs="Calibri"/>
          <w:b/>
          <w:bCs/>
          <w:sz w:val="18"/>
          <w:lang w:eastAsia="en-IN"/>
        </w:rPr>
        <w:t>Table 3.8</w:t>
      </w:r>
    </w:p>
    <w:tbl>
      <w:tblPr>
        <w:tblW w:w="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040"/>
      </w:tblGrid>
      <w:tr w:rsidR="007D2175" w:rsidRPr="00B638B1" w:rsidTr="0071396F">
        <w:trPr>
          <w:trHeight w:val="151"/>
          <w:jc w:val="center"/>
        </w:trPr>
        <w:tc>
          <w:tcPr>
            <w:tcW w:w="2362" w:type="dxa"/>
            <w:shd w:val="clear" w:color="auto" w:fill="auto"/>
            <w:noWrap/>
            <w:vAlign w:val="center"/>
            <w:hideMark/>
          </w:tcPr>
          <w:p w:rsidR="007D2175" w:rsidRPr="00B638B1" w:rsidRDefault="007D2175" w:rsidP="007D2175">
            <w:pPr>
              <w:spacing w:after="0" w:line="240" w:lineRule="auto"/>
              <w:rPr>
                <w:rFonts w:ascii="Bookman Old Style" w:eastAsia="Times New Roman" w:hAnsi="Bookman Old Style" w:cs="Calibri"/>
                <w:b/>
                <w:bCs/>
                <w:color w:val="000000"/>
                <w:lang w:eastAsia="en-IN"/>
              </w:rPr>
            </w:pPr>
            <w:r w:rsidRPr="00B638B1">
              <w:rPr>
                <w:rFonts w:ascii="Bookman Old Style" w:eastAsia="Times New Roman" w:hAnsi="Bookman Old Style" w:cs="Calibri"/>
                <w:b/>
                <w:bCs/>
                <w:color w:val="000000"/>
                <w:lang w:eastAsia="en-IN"/>
              </w:rPr>
              <w:t>Particulars</w:t>
            </w:r>
          </w:p>
        </w:tc>
        <w:tc>
          <w:tcPr>
            <w:tcW w:w="2040" w:type="dxa"/>
            <w:shd w:val="clear" w:color="auto" w:fill="auto"/>
            <w:noWrap/>
            <w:vAlign w:val="center"/>
            <w:hideMark/>
          </w:tcPr>
          <w:p w:rsidR="007D2175" w:rsidRPr="00B638B1" w:rsidRDefault="007D2175" w:rsidP="0053558D">
            <w:pPr>
              <w:spacing w:after="0" w:line="240" w:lineRule="auto"/>
              <w:jc w:val="center"/>
              <w:rPr>
                <w:rFonts w:ascii="Bookman Old Style" w:eastAsia="Times New Roman" w:hAnsi="Bookman Old Style" w:cs="Calibri"/>
                <w:b/>
                <w:bCs/>
                <w:color w:val="000000"/>
                <w:lang w:eastAsia="en-IN"/>
              </w:rPr>
            </w:pPr>
            <w:r w:rsidRPr="00B638B1">
              <w:rPr>
                <w:rFonts w:ascii="Bookman Old Style" w:eastAsia="Times New Roman" w:hAnsi="Bookman Old Style" w:cs="Calibri"/>
                <w:b/>
                <w:bCs/>
                <w:color w:val="000000"/>
                <w:lang w:eastAsia="en-IN"/>
              </w:rPr>
              <w:t>FY-20</w:t>
            </w:r>
          </w:p>
        </w:tc>
      </w:tr>
      <w:tr w:rsidR="007D2175" w:rsidRPr="00B638B1" w:rsidTr="0071396F">
        <w:trPr>
          <w:trHeight w:val="295"/>
          <w:jc w:val="center"/>
        </w:trPr>
        <w:tc>
          <w:tcPr>
            <w:tcW w:w="2362" w:type="dxa"/>
            <w:shd w:val="clear" w:color="auto" w:fill="auto"/>
            <w:vAlign w:val="center"/>
            <w:hideMark/>
          </w:tcPr>
          <w:p w:rsidR="007D2175" w:rsidRPr="00B638B1" w:rsidRDefault="007D2175" w:rsidP="007D2175">
            <w:pPr>
              <w:spacing w:after="0" w:line="240" w:lineRule="auto"/>
              <w:rPr>
                <w:rFonts w:ascii="Bookman Old Style" w:eastAsia="Times New Roman" w:hAnsi="Bookman Old Style" w:cs="Calibri"/>
                <w:color w:val="000000"/>
                <w:lang w:eastAsia="en-IN"/>
              </w:rPr>
            </w:pPr>
            <w:r w:rsidRPr="00B638B1">
              <w:rPr>
                <w:rFonts w:ascii="Bookman Old Style" w:eastAsia="Times New Roman" w:hAnsi="Bookman Old Style" w:cs="Calibri"/>
                <w:color w:val="000000"/>
                <w:lang w:eastAsia="en-IN"/>
              </w:rPr>
              <w:t>Upper limit </w:t>
            </w:r>
          </w:p>
        </w:tc>
        <w:tc>
          <w:tcPr>
            <w:tcW w:w="2040" w:type="dxa"/>
            <w:shd w:val="clear" w:color="auto" w:fill="auto"/>
            <w:noWrap/>
            <w:vAlign w:val="center"/>
            <w:hideMark/>
          </w:tcPr>
          <w:p w:rsidR="007D2175" w:rsidRPr="00B638B1" w:rsidRDefault="007D2175" w:rsidP="007D2175">
            <w:pPr>
              <w:spacing w:after="0" w:line="240" w:lineRule="auto"/>
              <w:jc w:val="right"/>
              <w:rPr>
                <w:rFonts w:ascii="Bookman Old Style" w:eastAsia="Times New Roman" w:hAnsi="Bookman Old Style" w:cs="Calibri"/>
                <w:color w:val="000000"/>
                <w:lang w:eastAsia="en-IN"/>
              </w:rPr>
            </w:pPr>
            <w:r w:rsidRPr="00B638B1">
              <w:rPr>
                <w:rFonts w:ascii="Bookman Old Style" w:eastAsia="Times New Roman" w:hAnsi="Bookman Old Style" w:cs="Calibri"/>
                <w:color w:val="000000"/>
                <w:lang w:eastAsia="en-IN"/>
              </w:rPr>
              <w:t>12.5</w:t>
            </w:r>
            <w:r w:rsidR="008F3CBB">
              <w:rPr>
                <w:rFonts w:ascii="Bookman Old Style" w:eastAsia="Times New Roman" w:hAnsi="Bookman Old Style" w:cs="Calibri"/>
                <w:color w:val="000000"/>
                <w:lang w:eastAsia="en-IN"/>
              </w:rPr>
              <w:t>0</w:t>
            </w:r>
          </w:p>
        </w:tc>
      </w:tr>
      <w:tr w:rsidR="007D2175" w:rsidRPr="00B638B1" w:rsidTr="0071396F">
        <w:trPr>
          <w:trHeight w:val="295"/>
          <w:jc w:val="center"/>
        </w:trPr>
        <w:tc>
          <w:tcPr>
            <w:tcW w:w="2362" w:type="dxa"/>
            <w:shd w:val="clear" w:color="auto" w:fill="auto"/>
            <w:vAlign w:val="center"/>
            <w:hideMark/>
          </w:tcPr>
          <w:p w:rsidR="007D2175" w:rsidRPr="00B638B1" w:rsidRDefault="007D2175" w:rsidP="007D2175">
            <w:pPr>
              <w:spacing w:after="0" w:line="240" w:lineRule="auto"/>
              <w:rPr>
                <w:rFonts w:ascii="Bookman Old Style" w:eastAsia="Times New Roman" w:hAnsi="Bookman Old Style" w:cs="Calibri"/>
                <w:color w:val="000000"/>
                <w:lang w:eastAsia="en-IN"/>
              </w:rPr>
            </w:pPr>
            <w:r w:rsidRPr="00B638B1">
              <w:rPr>
                <w:rFonts w:ascii="Bookman Old Style" w:eastAsia="Times New Roman" w:hAnsi="Bookman Old Style" w:cs="Calibri"/>
                <w:color w:val="000000"/>
                <w:lang w:eastAsia="en-IN"/>
              </w:rPr>
              <w:t>Average</w:t>
            </w:r>
          </w:p>
        </w:tc>
        <w:tc>
          <w:tcPr>
            <w:tcW w:w="2040" w:type="dxa"/>
            <w:shd w:val="clear" w:color="auto" w:fill="auto"/>
            <w:noWrap/>
            <w:vAlign w:val="center"/>
            <w:hideMark/>
          </w:tcPr>
          <w:p w:rsidR="007D2175" w:rsidRPr="00B638B1" w:rsidRDefault="007D2175" w:rsidP="007D2175">
            <w:pPr>
              <w:spacing w:after="0" w:line="240" w:lineRule="auto"/>
              <w:jc w:val="right"/>
              <w:rPr>
                <w:rFonts w:ascii="Bookman Old Style" w:eastAsia="Times New Roman" w:hAnsi="Bookman Old Style" w:cs="Calibri"/>
                <w:color w:val="000000"/>
                <w:lang w:eastAsia="en-IN"/>
              </w:rPr>
            </w:pPr>
            <w:r w:rsidRPr="00B638B1">
              <w:rPr>
                <w:rFonts w:ascii="Bookman Old Style" w:eastAsia="Times New Roman" w:hAnsi="Bookman Old Style" w:cs="Calibri"/>
                <w:color w:val="000000"/>
                <w:lang w:eastAsia="en-IN"/>
              </w:rPr>
              <w:t>12.25</w:t>
            </w:r>
          </w:p>
        </w:tc>
      </w:tr>
      <w:tr w:rsidR="007D2175" w:rsidRPr="00B638B1" w:rsidTr="0071396F">
        <w:trPr>
          <w:trHeight w:val="295"/>
          <w:jc w:val="center"/>
        </w:trPr>
        <w:tc>
          <w:tcPr>
            <w:tcW w:w="2362" w:type="dxa"/>
            <w:shd w:val="clear" w:color="auto" w:fill="auto"/>
            <w:vAlign w:val="center"/>
            <w:hideMark/>
          </w:tcPr>
          <w:p w:rsidR="007D2175" w:rsidRPr="00B638B1" w:rsidRDefault="007D2175" w:rsidP="00BD7749">
            <w:pPr>
              <w:spacing w:after="0" w:line="360" w:lineRule="auto"/>
              <w:rPr>
                <w:rFonts w:ascii="Bookman Old Style" w:eastAsia="Times New Roman" w:hAnsi="Bookman Old Style" w:cs="Calibri"/>
                <w:color w:val="000000"/>
                <w:lang w:eastAsia="en-IN"/>
              </w:rPr>
            </w:pPr>
            <w:r w:rsidRPr="00B638B1">
              <w:rPr>
                <w:rFonts w:ascii="Bookman Old Style" w:eastAsia="Times New Roman" w:hAnsi="Bookman Old Style" w:cs="Calibri"/>
                <w:color w:val="000000"/>
                <w:lang w:eastAsia="en-IN"/>
              </w:rPr>
              <w:t>Lower limit </w:t>
            </w:r>
          </w:p>
        </w:tc>
        <w:tc>
          <w:tcPr>
            <w:tcW w:w="2040" w:type="dxa"/>
            <w:shd w:val="clear" w:color="auto" w:fill="auto"/>
            <w:noWrap/>
            <w:vAlign w:val="center"/>
            <w:hideMark/>
          </w:tcPr>
          <w:p w:rsidR="007D2175" w:rsidRPr="00B638B1" w:rsidRDefault="007D2175" w:rsidP="00BD7749">
            <w:pPr>
              <w:spacing w:after="0" w:line="360" w:lineRule="auto"/>
              <w:jc w:val="right"/>
              <w:rPr>
                <w:rFonts w:ascii="Bookman Old Style" w:eastAsia="Times New Roman" w:hAnsi="Bookman Old Style" w:cs="Calibri"/>
                <w:color w:val="000000"/>
                <w:lang w:eastAsia="en-IN"/>
              </w:rPr>
            </w:pPr>
            <w:r w:rsidRPr="00B638B1">
              <w:rPr>
                <w:rFonts w:ascii="Bookman Old Style" w:eastAsia="Times New Roman" w:hAnsi="Bookman Old Style" w:cs="Calibri"/>
                <w:color w:val="000000"/>
                <w:lang w:eastAsia="en-IN"/>
              </w:rPr>
              <w:t>12</w:t>
            </w:r>
            <w:r w:rsidR="008F3CBB">
              <w:rPr>
                <w:rFonts w:ascii="Bookman Old Style" w:eastAsia="Times New Roman" w:hAnsi="Bookman Old Style" w:cs="Calibri"/>
                <w:color w:val="000000"/>
                <w:lang w:eastAsia="en-IN"/>
              </w:rPr>
              <w:t>.00</w:t>
            </w:r>
          </w:p>
        </w:tc>
      </w:tr>
    </w:tbl>
    <w:p w:rsidR="00BD7749" w:rsidRDefault="00BD7749" w:rsidP="00BD7749">
      <w:pPr>
        <w:spacing w:line="360" w:lineRule="auto"/>
        <w:ind w:right="67"/>
        <w:jc w:val="both"/>
        <w:rPr>
          <w:rFonts w:ascii="Bookman Old Style" w:eastAsiaTheme="minorEastAsia" w:hAnsi="Bookman Old Style" w:cs="Arial"/>
        </w:rPr>
      </w:pPr>
    </w:p>
    <w:p w:rsidR="007D2175" w:rsidRDefault="007D2175" w:rsidP="00BD7749">
      <w:pPr>
        <w:spacing w:line="360" w:lineRule="auto"/>
        <w:ind w:right="67"/>
        <w:jc w:val="both"/>
        <w:rPr>
          <w:rFonts w:ascii="Bookman Old Style" w:eastAsiaTheme="minorEastAsia" w:hAnsi="Bookman Old Style" w:cs="Arial"/>
        </w:rPr>
      </w:pPr>
      <w:r w:rsidRPr="007D2175">
        <w:rPr>
          <w:rFonts w:ascii="Bookman Old Style" w:eastAsiaTheme="minorEastAsia" w:hAnsi="Bookman Old Style" w:cs="Arial"/>
        </w:rPr>
        <w:t>The calculation for incentive payable due to reduction in distribution loss is shown in the below table: </w:t>
      </w:r>
    </w:p>
    <w:p w:rsidR="00BD7749" w:rsidRPr="00BD7749" w:rsidRDefault="00BD7749" w:rsidP="00BD7749">
      <w:pPr>
        <w:spacing w:line="360" w:lineRule="auto"/>
        <w:ind w:right="67"/>
        <w:jc w:val="center"/>
        <w:rPr>
          <w:rFonts w:ascii="Bookman Old Style" w:hAnsi="Bookman Old Style" w:cs="Calibri"/>
          <w:b/>
          <w:bCs/>
          <w:sz w:val="18"/>
          <w:lang w:eastAsia="en-IN"/>
        </w:rPr>
      </w:pPr>
      <w:r>
        <w:rPr>
          <w:rFonts w:ascii="Bookman Old Style" w:hAnsi="Bookman Old Style" w:cs="Calibri"/>
          <w:b/>
          <w:bCs/>
          <w:sz w:val="18"/>
          <w:lang w:eastAsia="en-IN"/>
        </w:rPr>
        <w:t>Table 3.9</w:t>
      </w:r>
    </w:p>
    <w:tbl>
      <w:tblPr>
        <w:tblW w:w="8089" w:type="dxa"/>
        <w:jc w:val="center"/>
        <w:tblLook w:val="04A0" w:firstRow="1" w:lastRow="0" w:firstColumn="1" w:lastColumn="0" w:noHBand="0" w:noVBand="1"/>
      </w:tblPr>
      <w:tblGrid>
        <w:gridCol w:w="6286"/>
        <w:gridCol w:w="1803"/>
      </w:tblGrid>
      <w:tr w:rsidR="007D2175" w:rsidRPr="007D2175" w:rsidTr="0071396F">
        <w:trPr>
          <w:trHeight w:val="289"/>
          <w:jc w:val="center"/>
        </w:trPr>
        <w:tc>
          <w:tcPr>
            <w:tcW w:w="62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2175" w:rsidRPr="007D2175" w:rsidRDefault="007D2175" w:rsidP="0071396F">
            <w:pPr>
              <w:spacing w:after="0" w:line="240" w:lineRule="auto"/>
              <w:rPr>
                <w:rFonts w:ascii="Bookman Old Style" w:eastAsia="Times New Roman" w:hAnsi="Bookman Old Style" w:cs="Calibri"/>
                <w:b/>
                <w:bCs/>
                <w:color w:val="000000"/>
                <w:lang w:eastAsia="en-IN"/>
              </w:rPr>
            </w:pPr>
            <w:r w:rsidRPr="007D2175">
              <w:rPr>
                <w:rFonts w:ascii="Bookman Old Style" w:eastAsia="Times New Roman" w:hAnsi="Bookman Old Style" w:cs="Calibri"/>
                <w:b/>
                <w:bCs/>
                <w:color w:val="000000"/>
                <w:lang w:eastAsia="en-IN"/>
              </w:rPr>
              <w:t>Particulars</w:t>
            </w:r>
          </w:p>
        </w:tc>
        <w:tc>
          <w:tcPr>
            <w:tcW w:w="1803" w:type="dxa"/>
            <w:tcBorders>
              <w:top w:val="single" w:sz="8" w:space="0" w:color="auto"/>
              <w:left w:val="nil"/>
              <w:bottom w:val="single" w:sz="8" w:space="0" w:color="auto"/>
              <w:right w:val="single" w:sz="8" w:space="0" w:color="auto"/>
            </w:tcBorders>
            <w:shd w:val="clear" w:color="auto" w:fill="auto"/>
            <w:noWrap/>
            <w:vAlign w:val="center"/>
            <w:hideMark/>
          </w:tcPr>
          <w:p w:rsidR="007D2175" w:rsidRPr="007D2175" w:rsidRDefault="007D2175" w:rsidP="0071396F">
            <w:pPr>
              <w:spacing w:after="0" w:line="240" w:lineRule="auto"/>
              <w:rPr>
                <w:rFonts w:ascii="Bookman Old Style" w:eastAsia="Times New Roman" w:hAnsi="Bookman Old Style" w:cs="Calibri"/>
                <w:b/>
                <w:bCs/>
                <w:color w:val="000000"/>
                <w:lang w:eastAsia="en-IN"/>
              </w:rPr>
            </w:pPr>
            <w:r w:rsidRPr="007D2175">
              <w:rPr>
                <w:rFonts w:ascii="Bookman Old Style" w:eastAsia="Times New Roman" w:hAnsi="Bookman Old Style" w:cs="Calibri"/>
                <w:b/>
                <w:bCs/>
                <w:color w:val="000000"/>
                <w:lang w:eastAsia="en-IN"/>
              </w:rPr>
              <w:t>FY-20</w:t>
            </w:r>
          </w:p>
        </w:tc>
      </w:tr>
      <w:tr w:rsidR="007D2175" w:rsidRPr="007D2175" w:rsidTr="00D44578">
        <w:trPr>
          <w:trHeight w:val="478"/>
          <w:jc w:val="center"/>
        </w:trPr>
        <w:tc>
          <w:tcPr>
            <w:tcW w:w="6286" w:type="dxa"/>
            <w:tcBorders>
              <w:top w:val="nil"/>
              <w:left w:val="single" w:sz="8" w:space="0" w:color="auto"/>
              <w:bottom w:val="single" w:sz="8" w:space="0" w:color="auto"/>
              <w:right w:val="single" w:sz="8" w:space="0" w:color="auto"/>
            </w:tcBorders>
            <w:shd w:val="clear" w:color="auto" w:fill="auto"/>
            <w:vAlign w:val="center"/>
            <w:hideMark/>
          </w:tcPr>
          <w:p w:rsidR="007D2175" w:rsidRPr="007D2175" w:rsidRDefault="007D2175" w:rsidP="0071396F">
            <w:pPr>
              <w:spacing w:after="0" w:line="240" w:lineRule="auto"/>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Actual input at IF point as per audited accounts in MU</w:t>
            </w:r>
          </w:p>
        </w:tc>
        <w:tc>
          <w:tcPr>
            <w:tcW w:w="1803" w:type="dxa"/>
            <w:tcBorders>
              <w:top w:val="nil"/>
              <w:left w:val="nil"/>
              <w:bottom w:val="single" w:sz="8" w:space="0" w:color="auto"/>
              <w:right w:val="single" w:sz="8" w:space="0" w:color="auto"/>
            </w:tcBorders>
            <w:shd w:val="clear" w:color="auto" w:fill="auto"/>
            <w:noWrap/>
            <w:vAlign w:val="center"/>
            <w:hideMark/>
          </w:tcPr>
          <w:p w:rsidR="007D2175" w:rsidRPr="007D2175" w:rsidRDefault="007D2175" w:rsidP="0071396F">
            <w:pPr>
              <w:spacing w:after="0" w:line="240" w:lineRule="auto"/>
              <w:jc w:val="right"/>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31625.73</w:t>
            </w:r>
          </w:p>
        </w:tc>
      </w:tr>
      <w:tr w:rsidR="007D2175" w:rsidRPr="007D2175" w:rsidTr="0071396F">
        <w:trPr>
          <w:trHeight w:val="289"/>
          <w:jc w:val="center"/>
        </w:trPr>
        <w:tc>
          <w:tcPr>
            <w:tcW w:w="6286" w:type="dxa"/>
            <w:tcBorders>
              <w:top w:val="nil"/>
              <w:left w:val="single" w:sz="8" w:space="0" w:color="auto"/>
              <w:bottom w:val="single" w:sz="8" w:space="0" w:color="auto"/>
              <w:right w:val="single" w:sz="8" w:space="0" w:color="auto"/>
            </w:tcBorders>
            <w:shd w:val="clear" w:color="auto" w:fill="auto"/>
            <w:vAlign w:val="center"/>
            <w:hideMark/>
          </w:tcPr>
          <w:p w:rsidR="007D2175" w:rsidRPr="007D2175" w:rsidRDefault="007D2175" w:rsidP="0071396F">
            <w:pPr>
              <w:spacing w:after="0" w:line="240" w:lineRule="auto"/>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Retail sales in MU</w:t>
            </w:r>
          </w:p>
        </w:tc>
        <w:tc>
          <w:tcPr>
            <w:tcW w:w="1803" w:type="dxa"/>
            <w:tcBorders>
              <w:top w:val="nil"/>
              <w:left w:val="nil"/>
              <w:bottom w:val="single" w:sz="8" w:space="0" w:color="auto"/>
              <w:right w:val="single" w:sz="8" w:space="0" w:color="auto"/>
            </w:tcBorders>
            <w:shd w:val="clear" w:color="auto" w:fill="auto"/>
            <w:noWrap/>
            <w:vAlign w:val="center"/>
            <w:hideMark/>
          </w:tcPr>
          <w:p w:rsidR="007D2175" w:rsidRPr="007D2175" w:rsidRDefault="007D2175" w:rsidP="0071396F">
            <w:pPr>
              <w:spacing w:after="0" w:line="240" w:lineRule="auto"/>
              <w:jc w:val="right"/>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27834.6</w:t>
            </w:r>
            <w:r w:rsidR="008F3CBB">
              <w:rPr>
                <w:rFonts w:ascii="Bookman Old Style" w:eastAsia="Times New Roman" w:hAnsi="Bookman Old Style" w:cs="Calibri"/>
                <w:color w:val="000000"/>
                <w:lang w:eastAsia="en-IN"/>
              </w:rPr>
              <w:t>0</w:t>
            </w:r>
          </w:p>
        </w:tc>
      </w:tr>
      <w:tr w:rsidR="007D2175" w:rsidRPr="007D2175" w:rsidTr="0071396F">
        <w:trPr>
          <w:trHeight w:val="431"/>
          <w:jc w:val="center"/>
        </w:trPr>
        <w:tc>
          <w:tcPr>
            <w:tcW w:w="6286" w:type="dxa"/>
            <w:tcBorders>
              <w:top w:val="nil"/>
              <w:left w:val="single" w:sz="8" w:space="0" w:color="auto"/>
              <w:bottom w:val="single" w:sz="8" w:space="0" w:color="auto"/>
              <w:right w:val="single" w:sz="8" w:space="0" w:color="auto"/>
            </w:tcBorders>
            <w:shd w:val="clear" w:color="auto" w:fill="auto"/>
            <w:vAlign w:val="center"/>
            <w:hideMark/>
          </w:tcPr>
          <w:p w:rsidR="007D2175" w:rsidRPr="007D2175" w:rsidRDefault="007D2175" w:rsidP="0071396F">
            <w:pPr>
              <w:spacing w:after="0" w:line="240" w:lineRule="auto"/>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Distribution loss after rounding off</w:t>
            </w:r>
          </w:p>
        </w:tc>
        <w:tc>
          <w:tcPr>
            <w:tcW w:w="1803" w:type="dxa"/>
            <w:tcBorders>
              <w:top w:val="nil"/>
              <w:left w:val="nil"/>
              <w:bottom w:val="single" w:sz="8" w:space="0" w:color="auto"/>
              <w:right w:val="single" w:sz="8" w:space="0" w:color="auto"/>
            </w:tcBorders>
            <w:shd w:val="clear" w:color="auto" w:fill="auto"/>
            <w:noWrap/>
            <w:vAlign w:val="center"/>
            <w:hideMark/>
          </w:tcPr>
          <w:p w:rsidR="007D2175" w:rsidRPr="007D2175" w:rsidRDefault="007D2175" w:rsidP="0071396F">
            <w:pPr>
              <w:spacing w:after="0" w:line="240" w:lineRule="auto"/>
              <w:jc w:val="right"/>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11.99</w:t>
            </w:r>
          </w:p>
        </w:tc>
      </w:tr>
      <w:tr w:rsidR="007D2175" w:rsidRPr="007D2175" w:rsidTr="0071396F">
        <w:trPr>
          <w:trHeight w:val="411"/>
          <w:jc w:val="center"/>
        </w:trPr>
        <w:tc>
          <w:tcPr>
            <w:tcW w:w="6286" w:type="dxa"/>
            <w:tcBorders>
              <w:top w:val="nil"/>
              <w:left w:val="single" w:sz="8" w:space="0" w:color="auto"/>
              <w:bottom w:val="single" w:sz="8" w:space="0" w:color="auto"/>
              <w:right w:val="single" w:sz="8" w:space="0" w:color="auto"/>
            </w:tcBorders>
            <w:shd w:val="clear" w:color="auto" w:fill="auto"/>
            <w:vAlign w:val="center"/>
            <w:hideMark/>
          </w:tcPr>
          <w:p w:rsidR="007D2175" w:rsidRPr="007D2175" w:rsidRDefault="007D2175" w:rsidP="0071396F">
            <w:pPr>
              <w:spacing w:after="0" w:line="240" w:lineRule="auto"/>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Target upper limit of distribution loss</w:t>
            </w:r>
          </w:p>
        </w:tc>
        <w:tc>
          <w:tcPr>
            <w:tcW w:w="1803" w:type="dxa"/>
            <w:tcBorders>
              <w:top w:val="nil"/>
              <w:left w:val="nil"/>
              <w:bottom w:val="single" w:sz="8" w:space="0" w:color="auto"/>
              <w:right w:val="single" w:sz="8" w:space="0" w:color="auto"/>
            </w:tcBorders>
            <w:shd w:val="clear" w:color="auto" w:fill="auto"/>
            <w:noWrap/>
            <w:vAlign w:val="center"/>
            <w:hideMark/>
          </w:tcPr>
          <w:p w:rsidR="007D2175" w:rsidRPr="007D2175" w:rsidRDefault="007D2175" w:rsidP="0071396F">
            <w:pPr>
              <w:spacing w:after="0" w:line="240" w:lineRule="auto"/>
              <w:jc w:val="right"/>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12.5</w:t>
            </w:r>
            <w:r w:rsidR="00CF631C">
              <w:rPr>
                <w:rFonts w:ascii="Bookman Old Style" w:eastAsia="Times New Roman" w:hAnsi="Bookman Old Style" w:cs="Calibri"/>
                <w:color w:val="000000"/>
                <w:lang w:eastAsia="en-IN"/>
              </w:rPr>
              <w:t>0</w:t>
            </w:r>
          </w:p>
        </w:tc>
      </w:tr>
      <w:tr w:rsidR="007D2175" w:rsidRPr="007D2175" w:rsidTr="0071396F">
        <w:trPr>
          <w:trHeight w:val="289"/>
          <w:jc w:val="center"/>
        </w:trPr>
        <w:tc>
          <w:tcPr>
            <w:tcW w:w="6286" w:type="dxa"/>
            <w:tcBorders>
              <w:top w:val="nil"/>
              <w:left w:val="single" w:sz="8" w:space="0" w:color="auto"/>
              <w:bottom w:val="single" w:sz="8" w:space="0" w:color="auto"/>
              <w:right w:val="single" w:sz="8" w:space="0" w:color="auto"/>
            </w:tcBorders>
            <w:shd w:val="clear" w:color="auto" w:fill="auto"/>
            <w:vAlign w:val="center"/>
            <w:hideMark/>
          </w:tcPr>
          <w:p w:rsidR="007D2175" w:rsidRPr="007D2175" w:rsidRDefault="007D2175" w:rsidP="0071396F">
            <w:pPr>
              <w:spacing w:after="0" w:line="240" w:lineRule="auto"/>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Target distribution loss</w:t>
            </w:r>
          </w:p>
        </w:tc>
        <w:tc>
          <w:tcPr>
            <w:tcW w:w="1803" w:type="dxa"/>
            <w:tcBorders>
              <w:top w:val="nil"/>
              <w:left w:val="nil"/>
              <w:bottom w:val="single" w:sz="8" w:space="0" w:color="auto"/>
              <w:right w:val="single" w:sz="8" w:space="0" w:color="auto"/>
            </w:tcBorders>
            <w:shd w:val="clear" w:color="auto" w:fill="auto"/>
            <w:noWrap/>
            <w:vAlign w:val="center"/>
            <w:hideMark/>
          </w:tcPr>
          <w:p w:rsidR="007D2175" w:rsidRPr="007D2175" w:rsidRDefault="007D2175" w:rsidP="0071396F">
            <w:pPr>
              <w:spacing w:after="0" w:line="240" w:lineRule="auto"/>
              <w:jc w:val="right"/>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12.25</w:t>
            </w:r>
          </w:p>
        </w:tc>
      </w:tr>
      <w:tr w:rsidR="007D2175" w:rsidRPr="007D2175" w:rsidTr="0071396F">
        <w:trPr>
          <w:trHeight w:val="353"/>
          <w:jc w:val="center"/>
        </w:trPr>
        <w:tc>
          <w:tcPr>
            <w:tcW w:w="6286" w:type="dxa"/>
            <w:tcBorders>
              <w:top w:val="nil"/>
              <w:left w:val="single" w:sz="8" w:space="0" w:color="auto"/>
              <w:bottom w:val="single" w:sz="8" w:space="0" w:color="auto"/>
              <w:right w:val="single" w:sz="8" w:space="0" w:color="auto"/>
            </w:tcBorders>
            <w:shd w:val="clear" w:color="auto" w:fill="auto"/>
            <w:vAlign w:val="center"/>
            <w:hideMark/>
          </w:tcPr>
          <w:p w:rsidR="007D2175" w:rsidRPr="007D2175" w:rsidRDefault="007D2175" w:rsidP="0071396F">
            <w:pPr>
              <w:spacing w:after="0" w:line="240" w:lineRule="auto"/>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Target lower limit of distribution loss</w:t>
            </w:r>
          </w:p>
        </w:tc>
        <w:tc>
          <w:tcPr>
            <w:tcW w:w="1803" w:type="dxa"/>
            <w:tcBorders>
              <w:top w:val="nil"/>
              <w:left w:val="nil"/>
              <w:bottom w:val="single" w:sz="8" w:space="0" w:color="auto"/>
              <w:right w:val="single" w:sz="8" w:space="0" w:color="auto"/>
            </w:tcBorders>
            <w:shd w:val="clear" w:color="auto" w:fill="auto"/>
            <w:noWrap/>
            <w:vAlign w:val="center"/>
            <w:hideMark/>
          </w:tcPr>
          <w:p w:rsidR="007D2175" w:rsidRPr="007D2175" w:rsidRDefault="007D2175" w:rsidP="0071396F">
            <w:pPr>
              <w:spacing w:after="0" w:line="240" w:lineRule="auto"/>
              <w:jc w:val="right"/>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12</w:t>
            </w:r>
            <w:r w:rsidR="00CF631C">
              <w:rPr>
                <w:rFonts w:ascii="Bookman Old Style" w:eastAsia="Times New Roman" w:hAnsi="Bookman Old Style" w:cs="Calibri"/>
                <w:color w:val="000000"/>
                <w:lang w:eastAsia="en-IN"/>
              </w:rPr>
              <w:t>.00</w:t>
            </w:r>
          </w:p>
        </w:tc>
      </w:tr>
      <w:tr w:rsidR="007D2175" w:rsidRPr="007D2175" w:rsidTr="0071396F">
        <w:trPr>
          <w:trHeight w:val="416"/>
          <w:jc w:val="center"/>
        </w:trPr>
        <w:tc>
          <w:tcPr>
            <w:tcW w:w="6286" w:type="dxa"/>
            <w:tcBorders>
              <w:top w:val="nil"/>
              <w:left w:val="single" w:sz="8" w:space="0" w:color="auto"/>
              <w:bottom w:val="single" w:sz="8" w:space="0" w:color="auto"/>
              <w:right w:val="single" w:sz="8" w:space="0" w:color="auto"/>
            </w:tcBorders>
            <w:shd w:val="clear" w:color="auto" w:fill="auto"/>
            <w:vAlign w:val="center"/>
            <w:hideMark/>
          </w:tcPr>
          <w:p w:rsidR="007D2175" w:rsidRPr="007D2175" w:rsidRDefault="007D2175" w:rsidP="0071396F">
            <w:pPr>
              <w:spacing w:after="0" w:line="240" w:lineRule="auto"/>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Reduction in loss - in percentage point</w:t>
            </w:r>
          </w:p>
        </w:tc>
        <w:tc>
          <w:tcPr>
            <w:tcW w:w="1803" w:type="dxa"/>
            <w:tcBorders>
              <w:top w:val="nil"/>
              <w:left w:val="nil"/>
              <w:bottom w:val="single" w:sz="8" w:space="0" w:color="auto"/>
              <w:right w:val="single" w:sz="8" w:space="0" w:color="auto"/>
            </w:tcBorders>
            <w:shd w:val="clear" w:color="auto" w:fill="auto"/>
            <w:noWrap/>
            <w:vAlign w:val="center"/>
            <w:hideMark/>
          </w:tcPr>
          <w:p w:rsidR="007D2175" w:rsidRPr="007D2175" w:rsidRDefault="007D2175" w:rsidP="0071396F">
            <w:pPr>
              <w:spacing w:after="0" w:line="240" w:lineRule="auto"/>
              <w:jc w:val="right"/>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0.51</w:t>
            </w:r>
          </w:p>
        </w:tc>
      </w:tr>
      <w:tr w:rsidR="007D2175" w:rsidRPr="007D2175" w:rsidTr="0071396F">
        <w:trPr>
          <w:trHeight w:val="455"/>
          <w:jc w:val="center"/>
        </w:trPr>
        <w:tc>
          <w:tcPr>
            <w:tcW w:w="6286" w:type="dxa"/>
            <w:tcBorders>
              <w:top w:val="nil"/>
              <w:left w:val="single" w:sz="8" w:space="0" w:color="auto"/>
              <w:bottom w:val="single" w:sz="8" w:space="0" w:color="auto"/>
              <w:right w:val="single" w:sz="8" w:space="0" w:color="auto"/>
            </w:tcBorders>
            <w:shd w:val="clear" w:color="auto" w:fill="auto"/>
            <w:vAlign w:val="center"/>
            <w:hideMark/>
          </w:tcPr>
          <w:p w:rsidR="007D2175" w:rsidRPr="007D2175" w:rsidRDefault="007D2175" w:rsidP="0071396F">
            <w:pPr>
              <w:spacing w:after="0" w:line="240" w:lineRule="auto"/>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Input energy at upper limit of target loss for actual sales in MU</w:t>
            </w:r>
          </w:p>
        </w:tc>
        <w:tc>
          <w:tcPr>
            <w:tcW w:w="1803" w:type="dxa"/>
            <w:tcBorders>
              <w:top w:val="nil"/>
              <w:left w:val="nil"/>
              <w:bottom w:val="single" w:sz="8" w:space="0" w:color="auto"/>
              <w:right w:val="single" w:sz="8" w:space="0" w:color="auto"/>
            </w:tcBorders>
            <w:shd w:val="clear" w:color="auto" w:fill="auto"/>
            <w:noWrap/>
            <w:vAlign w:val="center"/>
            <w:hideMark/>
          </w:tcPr>
          <w:p w:rsidR="007D2175" w:rsidRPr="007D2175" w:rsidRDefault="007D2175" w:rsidP="0071396F">
            <w:pPr>
              <w:spacing w:after="0" w:line="240" w:lineRule="auto"/>
              <w:jc w:val="right"/>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31810.97</w:t>
            </w:r>
          </w:p>
        </w:tc>
      </w:tr>
      <w:tr w:rsidR="007D2175" w:rsidRPr="007D2175" w:rsidTr="0071396F">
        <w:trPr>
          <w:trHeight w:val="534"/>
          <w:jc w:val="center"/>
        </w:trPr>
        <w:tc>
          <w:tcPr>
            <w:tcW w:w="6286" w:type="dxa"/>
            <w:tcBorders>
              <w:top w:val="nil"/>
              <w:left w:val="single" w:sz="8" w:space="0" w:color="auto"/>
              <w:bottom w:val="single" w:sz="8" w:space="0" w:color="auto"/>
              <w:right w:val="single" w:sz="8" w:space="0" w:color="auto"/>
            </w:tcBorders>
            <w:shd w:val="clear" w:color="auto" w:fill="auto"/>
            <w:vAlign w:val="center"/>
            <w:hideMark/>
          </w:tcPr>
          <w:p w:rsidR="007D2175" w:rsidRPr="007D2175" w:rsidRDefault="007D2175" w:rsidP="0071396F">
            <w:pPr>
              <w:spacing w:after="0" w:line="240" w:lineRule="auto"/>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Decrease in input energy due to reduction in distribution loss in MU</w:t>
            </w:r>
          </w:p>
        </w:tc>
        <w:tc>
          <w:tcPr>
            <w:tcW w:w="1803" w:type="dxa"/>
            <w:tcBorders>
              <w:top w:val="nil"/>
              <w:left w:val="nil"/>
              <w:bottom w:val="single" w:sz="8" w:space="0" w:color="auto"/>
              <w:right w:val="single" w:sz="8" w:space="0" w:color="auto"/>
            </w:tcBorders>
            <w:shd w:val="clear" w:color="auto" w:fill="auto"/>
            <w:noWrap/>
            <w:vAlign w:val="center"/>
            <w:hideMark/>
          </w:tcPr>
          <w:p w:rsidR="007D2175" w:rsidRPr="007D2175" w:rsidRDefault="007D2175" w:rsidP="0071396F">
            <w:pPr>
              <w:spacing w:after="0" w:line="240" w:lineRule="auto"/>
              <w:jc w:val="right"/>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-185.24</w:t>
            </w:r>
          </w:p>
        </w:tc>
      </w:tr>
      <w:tr w:rsidR="007D2175" w:rsidRPr="007D2175" w:rsidTr="0071396F">
        <w:trPr>
          <w:trHeight w:val="279"/>
          <w:jc w:val="center"/>
        </w:trPr>
        <w:tc>
          <w:tcPr>
            <w:tcW w:w="6286" w:type="dxa"/>
            <w:tcBorders>
              <w:top w:val="nil"/>
              <w:left w:val="single" w:sz="8" w:space="0" w:color="auto"/>
              <w:bottom w:val="single" w:sz="8" w:space="0" w:color="auto"/>
              <w:right w:val="single" w:sz="8" w:space="0" w:color="auto"/>
            </w:tcBorders>
            <w:shd w:val="clear" w:color="auto" w:fill="auto"/>
            <w:vAlign w:val="center"/>
            <w:hideMark/>
          </w:tcPr>
          <w:p w:rsidR="007D2175" w:rsidRPr="007D2175" w:rsidRDefault="007D2175" w:rsidP="0071396F">
            <w:pPr>
              <w:spacing w:after="0" w:line="240" w:lineRule="auto"/>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Average cost of power purchase in Rs./unit</w:t>
            </w:r>
          </w:p>
        </w:tc>
        <w:tc>
          <w:tcPr>
            <w:tcW w:w="1803" w:type="dxa"/>
            <w:tcBorders>
              <w:top w:val="nil"/>
              <w:left w:val="nil"/>
              <w:bottom w:val="single" w:sz="8" w:space="0" w:color="auto"/>
              <w:right w:val="single" w:sz="8" w:space="0" w:color="auto"/>
            </w:tcBorders>
            <w:shd w:val="clear" w:color="auto" w:fill="auto"/>
            <w:noWrap/>
            <w:vAlign w:val="center"/>
            <w:hideMark/>
          </w:tcPr>
          <w:p w:rsidR="007D2175" w:rsidRPr="007D2175" w:rsidRDefault="007D2175" w:rsidP="0071396F">
            <w:pPr>
              <w:spacing w:after="0" w:line="240" w:lineRule="auto"/>
              <w:jc w:val="right"/>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5.91</w:t>
            </w:r>
          </w:p>
        </w:tc>
      </w:tr>
      <w:tr w:rsidR="007D2175" w:rsidRPr="007D2175" w:rsidTr="0071396F">
        <w:trPr>
          <w:trHeight w:val="105"/>
          <w:jc w:val="center"/>
        </w:trPr>
        <w:tc>
          <w:tcPr>
            <w:tcW w:w="6286" w:type="dxa"/>
            <w:tcBorders>
              <w:top w:val="nil"/>
              <w:left w:val="single" w:sz="8" w:space="0" w:color="auto"/>
              <w:bottom w:val="single" w:sz="8" w:space="0" w:color="auto"/>
              <w:right w:val="single" w:sz="8" w:space="0" w:color="auto"/>
            </w:tcBorders>
            <w:shd w:val="clear" w:color="auto" w:fill="auto"/>
            <w:vAlign w:val="center"/>
            <w:hideMark/>
          </w:tcPr>
          <w:p w:rsidR="007D2175" w:rsidRPr="007D2175" w:rsidRDefault="007D2175" w:rsidP="0071396F">
            <w:pPr>
              <w:spacing w:after="0" w:line="240" w:lineRule="auto"/>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Incentive due to decrease in losses Rs. Crores</w:t>
            </w:r>
          </w:p>
        </w:tc>
        <w:tc>
          <w:tcPr>
            <w:tcW w:w="1803" w:type="dxa"/>
            <w:tcBorders>
              <w:top w:val="nil"/>
              <w:left w:val="nil"/>
              <w:bottom w:val="single" w:sz="8" w:space="0" w:color="auto"/>
              <w:right w:val="single" w:sz="8" w:space="0" w:color="auto"/>
            </w:tcBorders>
            <w:shd w:val="clear" w:color="auto" w:fill="auto"/>
            <w:noWrap/>
            <w:vAlign w:val="center"/>
            <w:hideMark/>
          </w:tcPr>
          <w:p w:rsidR="007D2175" w:rsidRPr="007D2175" w:rsidRDefault="007D2175" w:rsidP="0071396F">
            <w:pPr>
              <w:spacing w:after="0" w:line="240" w:lineRule="auto"/>
              <w:jc w:val="right"/>
              <w:rPr>
                <w:rFonts w:ascii="Bookman Old Style" w:eastAsia="Times New Roman" w:hAnsi="Bookman Old Style" w:cs="Calibri"/>
                <w:color w:val="000000"/>
                <w:lang w:eastAsia="en-IN"/>
              </w:rPr>
            </w:pPr>
            <w:r w:rsidRPr="007D2175">
              <w:rPr>
                <w:rFonts w:ascii="Bookman Old Style" w:eastAsia="Times New Roman" w:hAnsi="Bookman Old Style" w:cs="Calibri"/>
                <w:color w:val="000000"/>
                <w:lang w:eastAsia="en-IN"/>
              </w:rPr>
              <w:t>109.48</w:t>
            </w:r>
          </w:p>
        </w:tc>
      </w:tr>
    </w:tbl>
    <w:p w:rsidR="00096037" w:rsidRPr="00096037" w:rsidRDefault="00381ACE" w:rsidP="001175A1">
      <w:pPr>
        <w:spacing w:line="360" w:lineRule="auto"/>
        <w:jc w:val="both"/>
        <w:rPr>
          <w:rFonts w:ascii="Bookman Old Style" w:hAnsi="Bookman Old Style"/>
          <w:sz w:val="24"/>
        </w:rPr>
      </w:pPr>
      <w:r w:rsidRPr="00096037">
        <w:rPr>
          <w:rFonts w:ascii="Bookman Old Style" w:hAnsi="Bookman Old Style"/>
          <w:b/>
          <w:sz w:val="24"/>
        </w:rPr>
        <w:lastRenderedPageBreak/>
        <w:t>Change in calculation of T&amp;D loss for FY-20:</w:t>
      </w:r>
      <w:r w:rsidRPr="00096037">
        <w:rPr>
          <w:rFonts w:ascii="Bookman Old Style" w:hAnsi="Bookman Old Style"/>
          <w:sz w:val="24"/>
        </w:rPr>
        <w:t xml:space="preserve"> </w:t>
      </w:r>
    </w:p>
    <w:p w:rsidR="001175A1" w:rsidRDefault="0068707F" w:rsidP="0071396F">
      <w:pPr>
        <w:spacing w:line="360" w:lineRule="auto"/>
        <w:ind w:right="67"/>
        <w:jc w:val="both"/>
        <w:rPr>
          <w:rFonts w:ascii="Bookman Old Style" w:hAnsi="Bookman Old Style"/>
        </w:rPr>
      </w:pPr>
      <w:r>
        <w:rPr>
          <w:rFonts w:ascii="Bookman Old Style" w:hAnsi="Bookman Old Style"/>
        </w:rPr>
        <w:t>T</w:t>
      </w:r>
      <w:r w:rsidR="001175A1" w:rsidRPr="00D64809">
        <w:rPr>
          <w:rFonts w:ascii="Bookman Old Style" w:hAnsi="Bookman Old Style"/>
        </w:rPr>
        <w:t xml:space="preserve">he calculation of Distribution loss and AT&amp;C loss of BESCOM were arrived based on the present month input and present month DCB. </w:t>
      </w:r>
      <w:r w:rsidR="001175A1">
        <w:rPr>
          <w:rFonts w:ascii="Bookman Old Style" w:hAnsi="Bookman Old Style"/>
        </w:rPr>
        <w:t>C</w:t>
      </w:r>
      <w:r w:rsidR="001175A1" w:rsidRPr="00D64809">
        <w:rPr>
          <w:rFonts w:ascii="Bookman Old Style" w:hAnsi="Bookman Old Style"/>
        </w:rPr>
        <w:t>oncern</w:t>
      </w:r>
      <w:r w:rsidR="001175A1">
        <w:rPr>
          <w:rFonts w:ascii="Bookman Old Style" w:hAnsi="Bookman Old Style"/>
        </w:rPr>
        <w:t>s were expressed</w:t>
      </w:r>
      <w:r w:rsidR="001175A1" w:rsidRPr="00D64809">
        <w:rPr>
          <w:rFonts w:ascii="Bookman Old Style" w:hAnsi="Bookman Old Style"/>
        </w:rPr>
        <w:t xml:space="preserve"> during the June-18 meeting that the method opted to arrive T&amp;D and AT&amp;C loss is technically not </w:t>
      </w:r>
      <w:r w:rsidR="001175A1">
        <w:rPr>
          <w:rFonts w:ascii="Bookman Old Style" w:hAnsi="Bookman Old Style"/>
        </w:rPr>
        <w:t xml:space="preserve">in </w:t>
      </w:r>
      <w:r w:rsidR="001175A1" w:rsidRPr="00D64809">
        <w:rPr>
          <w:rFonts w:ascii="Bookman Old Style" w:hAnsi="Bookman Old Style"/>
        </w:rPr>
        <w:t>proper</w:t>
      </w:r>
      <w:r w:rsidR="001175A1">
        <w:rPr>
          <w:rFonts w:ascii="Bookman Old Style" w:hAnsi="Bookman Old Style"/>
        </w:rPr>
        <w:t xml:space="preserve"> way</w:t>
      </w:r>
      <w:r w:rsidR="001175A1" w:rsidRPr="00D64809">
        <w:rPr>
          <w:rFonts w:ascii="Bookman Old Style" w:hAnsi="Bookman Old Style"/>
        </w:rPr>
        <w:t xml:space="preserve"> and suggested to work out by considering previous month input and present month DCB for calculation of T&amp;D and AT&amp;C losses</w:t>
      </w:r>
      <w:r w:rsidR="001175A1">
        <w:rPr>
          <w:rFonts w:ascii="Bookman Old Style" w:hAnsi="Bookman Old Style"/>
        </w:rPr>
        <w:t xml:space="preserve"> </w:t>
      </w:r>
      <w:r w:rsidR="001175A1" w:rsidRPr="00D64809">
        <w:rPr>
          <w:rFonts w:ascii="Bookman Old Style" w:hAnsi="Bookman Old Style"/>
        </w:rPr>
        <w:t xml:space="preserve">(i.e. for April month energy audit the input shall be taken from March month and the DCB of April month shall be considered). </w:t>
      </w:r>
    </w:p>
    <w:p w:rsidR="001175A1" w:rsidRDefault="0068707F" w:rsidP="0071396F">
      <w:pPr>
        <w:spacing w:line="360" w:lineRule="auto"/>
        <w:ind w:right="67"/>
        <w:jc w:val="both"/>
        <w:rPr>
          <w:rFonts w:ascii="Bookman Old Style" w:hAnsi="Bookman Old Style"/>
        </w:rPr>
      </w:pPr>
      <w:r>
        <w:rPr>
          <w:rFonts w:ascii="Bookman Old Style" w:hAnsi="Bookman Old Style"/>
        </w:rPr>
        <w:t>Further, L</w:t>
      </w:r>
      <w:r w:rsidR="001175A1" w:rsidRPr="00D64809">
        <w:rPr>
          <w:rFonts w:ascii="Bookman Old Style" w:hAnsi="Bookman Old Style"/>
        </w:rPr>
        <w:t>etter dt</w:t>
      </w:r>
      <w:r w:rsidR="001175A1">
        <w:rPr>
          <w:rFonts w:ascii="Bookman Old Style" w:hAnsi="Bookman Old Style"/>
        </w:rPr>
        <w:t>d</w:t>
      </w:r>
      <w:r w:rsidR="001175A1" w:rsidRPr="00D64809">
        <w:rPr>
          <w:rFonts w:ascii="Bookman Old Style" w:hAnsi="Bookman Old Style"/>
        </w:rPr>
        <w:t>: 01.07.2019 from CEA</w:t>
      </w:r>
      <w:r>
        <w:rPr>
          <w:rFonts w:ascii="Bookman Old Style" w:hAnsi="Bookman Old Style"/>
        </w:rPr>
        <w:t xml:space="preserve"> </w:t>
      </w:r>
      <w:r w:rsidR="001175A1" w:rsidRPr="00D64809">
        <w:rPr>
          <w:rFonts w:ascii="Bookman Old Style" w:hAnsi="Bookman Old Style"/>
        </w:rPr>
        <w:t xml:space="preserve">was received for “Discussion on the methodology of calculation of T&amp;D losses”. In the letter they have mentioned that there has been increase in open access consumption across various DISCOMS in the country. The No. of franchisees appointed by DISCOMS in their area of supply is also increasing. Further the embedded renewable energy generation at various voltage levels within the boundary of the DISCOMS is also on the rise. All these factors </w:t>
      </w:r>
      <w:r w:rsidR="001175A1">
        <w:rPr>
          <w:rFonts w:ascii="Bookman Old Style" w:hAnsi="Bookman Old Style"/>
        </w:rPr>
        <w:t xml:space="preserve">affect the T&amp;D losses of the DISCOMS and as their quantum is increasing day by day, it will have </w:t>
      </w:r>
      <w:r w:rsidR="001175A1" w:rsidRPr="00D64809">
        <w:rPr>
          <w:rFonts w:ascii="Bookman Old Style" w:hAnsi="Bookman Old Style"/>
        </w:rPr>
        <w:t>an impact on the T&amp;D loss</w:t>
      </w:r>
      <w:r w:rsidR="001175A1">
        <w:rPr>
          <w:rFonts w:ascii="Bookman Old Style" w:hAnsi="Bookman Old Style"/>
        </w:rPr>
        <w:t xml:space="preserve"> calculation </w:t>
      </w:r>
      <w:r w:rsidR="001175A1" w:rsidRPr="00D64809">
        <w:rPr>
          <w:rFonts w:ascii="Bookman Old Style" w:hAnsi="Bookman Old Style"/>
        </w:rPr>
        <w:t>of the DISCOMS</w:t>
      </w:r>
      <w:r w:rsidR="001175A1">
        <w:rPr>
          <w:rFonts w:ascii="Bookman Old Style" w:hAnsi="Bookman Old Style"/>
        </w:rPr>
        <w:t xml:space="preserve"> in the coming days</w:t>
      </w:r>
      <w:r w:rsidR="001175A1" w:rsidRPr="00D64809">
        <w:rPr>
          <w:rFonts w:ascii="Bookman Old Style" w:hAnsi="Bookman Old Style"/>
        </w:rPr>
        <w:t>. Hence, it is felt that there is a need to include the impact of these factors in the methodology of calculation of T&amp;D losses.</w:t>
      </w:r>
    </w:p>
    <w:p w:rsidR="001175A1" w:rsidRDefault="001175A1" w:rsidP="0071396F">
      <w:pPr>
        <w:spacing w:line="360" w:lineRule="auto"/>
        <w:ind w:right="67"/>
        <w:jc w:val="both"/>
        <w:rPr>
          <w:rFonts w:ascii="Bookman Old Style" w:hAnsi="Bookman Old Style"/>
        </w:rPr>
      </w:pPr>
      <w:r>
        <w:rPr>
          <w:rFonts w:ascii="Bookman Old Style" w:hAnsi="Bookman Old Style"/>
        </w:rPr>
        <w:t>Hence, a new format wa</w:t>
      </w:r>
      <w:r w:rsidRPr="00D64809">
        <w:rPr>
          <w:rFonts w:ascii="Bookman Old Style" w:hAnsi="Bookman Old Style"/>
        </w:rPr>
        <w:t>s arrived considering all the above points for calculating the T&amp;D loss</w:t>
      </w:r>
      <w:r w:rsidR="0068707F">
        <w:rPr>
          <w:rFonts w:ascii="Bookman Old Style" w:hAnsi="Bookman Old Style"/>
        </w:rPr>
        <w:t xml:space="preserve"> for FY-20</w:t>
      </w:r>
      <w:r w:rsidR="00602324">
        <w:rPr>
          <w:rFonts w:ascii="Bookman Old Style" w:hAnsi="Bookman Old Style"/>
        </w:rPr>
        <w:t xml:space="preserve"> as shown in the below table:</w:t>
      </w:r>
      <w:r w:rsidRPr="00D64809">
        <w:rPr>
          <w:rFonts w:ascii="Bookman Old Style" w:hAnsi="Bookman Old Style"/>
        </w:rPr>
        <w:t xml:space="preserve"> </w:t>
      </w:r>
    </w:p>
    <w:p w:rsidR="00702CCA" w:rsidRDefault="00702CCA" w:rsidP="00602324">
      <w:pPr>
        <w:spacing w:line="360" w:lineRule="auto"/>
        <w:ind w:right="67"/>
        <w:jc w:val="center"/>
        <w:rPr>
          <w:rFonts w:ascii="Bookman Old Style" w:hAnsi="Bookman Old Style" w:cs="Calibri"/>
          <w:b/>
          <w:bCs/>
          <w:sz w:val="18"/>
          <w:lang w:eastAsia="en-IN"/>
        </w:rPr>
      </w:pPr>
    </w:p>
    <w:p w:rsidR="00702CCA" w:rsidRDefault="00702CCA" w:rsidP="00602324">
      <w:pPr>
        <w:spacing w:line="360" w:lineRule="auto"/>
        <w:ind w:right="67"/>
        <w:jc w:val="center"/>
        <w:rPr>
          <w:rFonts w:ascii="Bookman Old Style" w:hAnsi="Bookman Old Style" w:cs="Calibri"/>
          <w:b/>
          <w:bCs/>
          <w:sz w:val="18"/>
          <w:lang w:eastAsia="en-IN"/>
        </w:rPr>
      </w:pPr>
    </w:p>
    <w:p w:rsidR="00702CCA" w:rsidRDefault="00702CCA" w:rsidP="00602324">
      <w:pPr>
        <w:spacing w:line="360" w:lineRule="auto"/>
        <w:ind w:right="67"/>
        <w:jc w:val="center"/>
        <w:rPr>
          <w:rFonts w:ascii="Bookman Old Style" w:hAnsi="Bookman Old Style" w:cs="Calibri"/>
          <w:b/>
          <w:bCs/>
          <w:sz w:val="18"/>
          <w:lang w:eastAsia="en-IN"/>
        </w:rPr>
      </w:pPr>
    </w:p>
    <w:p w:rsidR="00702CCA" w:rsidRDefault="00702CCA" w:rsidP="00602324">
      <w:pPr>
        <w:spacing w:line="360" w:lineRule="auto"/>
        <w:ind w:right="67"/>
        <w:jc w:val="center"/>
        <w:rPr>
          <w:rFonts w:ascii="Bookman Old Style" w:hAnsi="Bookman Old Style" w:cs="Calibri"/>
          <w:b/>
          <w:bCs/>
          <w:sz w:val="18"/>
          <w:lang w:eastAsia="en-IN"/>
        </w:rPr>
      </w:pPr>
    </w:p>
    <w:p w:rsidR="00702CCA" w:rsidRDefault="00702CCA" w:rsidP="00602324">
      <w:pPr>
        <w:spacing w:line="360" w:lineRule="auto"/>
        <w:ind w:right="67"/>
        <w:jc w:val="center"/>
        <w:rPr>
          <w:rFonts w:ascii="Bookman Old Style" w:hAnsi="Bookman Old Style" w:cs="Calibri"/>
          <w:b/>
          <w:bCs/>
          <w:sz w:val="18"/>
          <w:lang w:eastAsia="en-IN"/>
        </w:rPr>
      </w:pPr>
    </w:p>
    <w:p w:rsidR="00702CCA" w:rsidRDefault="00702CCA" w:rsidP="00602324">
      <w:pPr>
        <w:spacing w:line="360" w:lineRule="auto"/>
        <w:ind w:right="67"/>
        <w:jc w:val="center"/>
        <w:rPr>
          <w:rFonts w:ascii="Bookman Old Style" w:hAnsi="Bookman Old Style" w:cs="Calibri"/>
          <w:b/>
          <w:bCs/>
          <w:sz w:val="18"/>
          <w:lang w:eastAsia="en-IN"/>
        </w:rPr>
      </w:pPr>
    </w:p>
    <w:p w:rsidR="00702CCA" w:rsidRDefault="00702CCA" w:rsidP="00602324">
      <w:pPr>
        <w:spacing w:line="360" w:lineRule="auto"/>
        <w:ind w:right="67"/>
        <w:jc w:val="center"/>
        <w:rPr>
          <w:rFonts w:ascii="Bookman Old Style" w:hAnsi="Bookman Old Style" w:cs="Calibri"/>
          <w:b/>
          <w:bCs/>
          <w:sz w:val="18"/>
          <w:lang w:eastAsia="en-IN"/>
        </w:rPr>
      </w:pPr>
    </w:p>
    <w:p w:rsidR="00702CCA" w:rsidRDefault="00702CCA" w:rsidP="00602324">
      <w:pPr>
        <w:spacing w:line="360" w:lineRule="auto"/>
        <w:ind w:right="67"/>
        <w:jc w:val="center"/>
        <w:rPr>
          <w:rFonts w:ascii="Bookman Old Style" w:hAnsi="Bookman Old Style" w:cs="Calibri"/>
          <w:b/>
          <w:bCs/>
          <w:sz w:val="18"/>
          <w:lang w:eastAsia="en-IN"/>
        </w:rPr>
      </w:pPr>
    </w:p>
    <w:p w:rsidR="00702CCA" w:rsidRDefault="00702CCA" w:rsidP="00602324">
      <w:pPr>
        <w:spacing w:line="360" w:lineRule="auto"/>
        <w:ind w:right="67"/>
        <w:jc w:val="center"/>
        <w:rPr>
          <w:rFonts w:ascii="Bookman Old Style" w:hAnsi="Bookman Old Style" w:cs="Calibri"/>
          <w:b/>
          <w:bCs/>
          <w:sz w:val="18"/>
          <w:lang w:eastAsia="en-IN"/>
        </w:rPr>
      </w:pPr>
    </w:p>
    <w:p w:rsidR="00702CCA" w:rsidRDefault="00702CCA" w:rsidP="00602324">
      <w:pPr>
        <w:spacing w:line="360" w:lineRule="auto"/>
        <w:ind w:right="67"/>
        <w:jc w:val="center"/>
        <w:rPr>
          <w:rFonts w:ascii="Bookman Old Style" w:hAnsi="Bookman Old Style" w:cs="Calibri"/>
          <w:b/>
          <w:bCs/>
          <w:sz w:val="18"/>
          <w:lang w:eastAsia="en-IN"/>
        </w:rPr>
      </w:pPr>
    </w:p>
    <w:p w:rsidR="00702CCA" w:rsidRDefault="00702CCA" w:rsidP="00602324">
      <w:pPr>
        <w:spacing w:line="360" w:lineRule="auto"/>
        <w:ind w:right="67"/>
        <w:jc w:val="center"/>
        <w:rPr>
          <w:rFonts w:ascii="Bookman Old Style" w:hAnsi="Bookman Old Style" w:cs="Calibri"/>
          <w:b/>
          <w:bCs/>
          <w:sz w:val="18"/>
          <w:lang w:eastAsia="en-IN"/>
        </w:rPr>
      </w:pPr>
    </w:p>
    <w:p w:rsidR="00602324" w:rsidRDefault="00602324" w:rsidP="00602324">
      <w:pPr>
        <w:spacing w:line="360" w:lineRule="auto"/>
        <w:ind w:right="67"/>
        <w:jc w:val="center"/>
        <w:rPr>
          <w:rFonts w:ascii="Bookman Old Style" w:hAnsi="Bookman Old Style" w:cs="Calibri"/>
          <w:b/>
          <w:bCs/>
          <w:sz w:val="18"/>
          <w:lang w:eastAsia="en-IN"/>
        </w:rPr>
      </w:pPr>
      <w:r w:rsidRPr="00294DAD">
        <w:rPr>
          <w:rFonts w:ascii="Bookman Old Style" w:hAnsi="Bookman Old Style" w:cs="Calibri"/>
          <w:b/>
          <w:bCs/>
          <w:sz w:val="18"/>
          <w:lang w:eastAsia="en-IN"/>
        </w:rPr>
        <w:lastRenderedPageBreak/>
        <w:t>Table 3.</w:t>
      </w:r>
      <w:r w:rsidR="00BD7749">
        <w:rPr>
          <w:rFonts w:ascii="Bookman Old Style" w:hAnsi="Bookman Old Style" w:cs="Calibri"/>
          <w:b/>
          <w:bCs/>
          <w:sz w:val="18"/>
          <w:lang w:eastAsia="en-IN"/>
        </w:rPr>
        <w:t>10</w:t>
      </w:r>
    </w:p>
    <w:p w:rsidR="00602324" w:rsidRPr="00D64809" w:rsidRDefault="000275FA" w:rsidP="008F3CBB">
      <w:pPr>
        <w:spacing w:line="360" w:lineRule="auto"/>
        <w:ind w:left="-426"/>
        <w:jc w:val="center"/>
        <w:rPr>
          <w:rFonts w:ascii="Bookman Old Style" w:hAnsi="Bookman Old Style"/>
        </w:rPr>
      </w:pPr>
      <w:r>
        <w:rPr>
          <w:rFonts w:ascii="Bookman Old Style" w:hAnsi="Bookman Old Style"/>
          <w:noProof/>
          <w:lang w:eastAsia="en-IN"/>
        </w:rPr>
        <w:drawing>
          <wp:inline distT="0" distB="0" distL="0" distR="0">
            <wp:extent cx="6433751" cy="5025082"/>
            <wp:effectExtent l="0" t="0" r="5715" b="4445"/>
            <wp:docPr id="2" name="Picture 2" descr="D:\Kala\ERC\ERC FY-21\Chapter-3_Truing-u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la\ERC\ERC FY-21\Chapter-3_Truing-u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3751" cy="5025082"/>
                    </a:xfrm>
                    <a:prstGeom prst="rect">
                      <a:avLst/>
                    </a:prstGeom>
                    <a:noFill/>
                    <a:ln>
                      <a:noFill/>
                    </a:ln>
                  </pic:spPr>
                </pic:pic>
              </a:graphicData>
            </a:graphic>
          </wp:inline>
        </w:drawing>
      </w:r>
    </w:p>
    <w:p w:rsidR="001175A1" w:rsidRDefault="001175A1" w:rsidP="001175A1">
      <w:pPr>
        <w:spacing w:line="360" w:lineRule="auto"/>
        <w:jc w:val="both"/>
        <w:rPr>
          <w:rFonts w:ascii="Bookman Old Style" w:hAnsi="Bookman Old Style"/>
        </w:rPr>
      </w:pPr>
      <w:r>
        <w:rPr>
          <w:rFonts w:ascii="Bookman Old Style" w:hAnsi="Bookman Old Style"/>
        </w:rPr>
        <w:t>In thi</w:t>
      </w:r>
      <w:r w:rsidR="005C3AA0">
        <w:rPr>
          <w:rFonts w:ascii="Bookman Old Style" w:hAnsi="Bookman Old Style"/>
        </w:rPr>
        <w:t>s</w:t>
      </w:r>
      <w:r>
        <w:rPr>
          <w:rFonts w:ascii="Bookman Old Style" w:hAnsi="Bookman Old Style"/>
        </w:rPr>
        <w:t xml:space="preserve"> new format, open access, wheeled energy and other renewable energy are added to the total input energy of BESCOM as they flow in the 11KV BESCOM network</w:t>
      </w:r>
      <w:r w:rsidR="00BD10B9">
        <w:rPr>
          <w:rFonts w:ascii="Bookman Old Style" w:hAnsi="Bookman Old Style"/>
        </w:rPr>
        <w:t xml:space="preserve"> a</w:t>
      </w:r>
      <w:r>
        <w:rPr>
          <w:rFonts w:ascii="Bookman Old Style" w:hAnsi="Bookman Old Style"/>
        </w:rPr>
        <w:t>nd the wheeled and open access sales are added to the total BESCOM sales. Considering the total energy flown to the BESCOM network and energy sales from the BESCOM network distribution losses are calculated. However the billing efficiency (energy input and energy sales for BESCOM) and AT&amp;C</w:t>
      </w:r>
      <w:r w:rsidR="00BD10B9">
        <w:rPr>
          <w:rFonts w:ascii="Bookman Old Style" w:hAnsi="Bookman Old Style"/>
        </w:rPr>
        <w:t xml:space="preserve"> losses (1-billing efficiency*</w:t>
      </w:r>
      <w:r>
        <w:rPr>
          <w:rFonts w:ascii="Bookman Old Style" w:hAnsi="Bookman Old Style"/>
        </w:rPr>
        <w:t>collection efficiency) doesn’t change as they are calculated for the BESCOM only and not for the network.</w:t>
      </w:r>
    </w:p>
    <w:p w:rsidR="00381ACE" w:rsidRPr="000B34B2" w:rsidRDefault="00381ACE" w:rsidP="00717D3E">
      <w:pPr>
        <w:spacing w:line="360" w:lineRule="auto"/>
        <w:ind w:right="67"/>
        <w:jc w:val="both"/>
        <w:rPr>
          <w:rFonts w:ascii="Bookman Old Style" w:hAnsi="Bookman Old Style"/>
        </w:rPr>
      </w:pPr>
      <w:r w:rsidRPr="000B34B2">
        <w:rPr>
          <w:rFonts w:ascii="Bookman Old Style" w:hAnsi="Bookman Old Style"/>
        </w:rPr>
        <w:t>The provisional details of the month wise distribution loss for the year FY-2</w:t>
      </w:r>
      <w:r w:rsidR="00457F31" w:rsidRPr="000B34B2">
        <w:rPr>
          <w:rFonts w:ascii="Bookman Old Style" w:hAnsi="Bookman Old Style"/>
        </w:rPr>
        <w:t>1 (upto Sep-20</w:t>
      </w:r>
      <w:r w:rsidRPr="000B34B2">
        <w:rPr>
          <w:rFonts w:ascii="Bookman Old Style" w:hAnsi="Bookman Old Style"/>
        </w:rPr>
        <w:t>) is shown in the below table.</w:t>
      </w:r>
    </w:p>
    <w:p w:rsidR="00BD10B9" w:rsidRDefault="00BD10B9" w:rsidP="00717D3E">
      <w:pPr>
        <w:spacing w:line="360" w:lineRule="auto"/>
        <w:ind w:right="67"/>
        <w:jc w:val="both"/>
        <w:rPr>
          <w:rFonts w:ascii="Bookman Old Style" w:hAnsi="Bookman Old Style"/>
          <w:b/>
        </w:rPr>
      </w:pPr>
    </w:p>
    <w:p w:rsidR="000B34B2" w:rsidRPr="000B34B2" w:rsidRDefault="00BD7749" w:rsidP="00717D3E">
      <w:pPr>
        <w:spacing w:line="360" w:lineRule="auto"/>
        <w:ind w:right="67"/>
        <w:jc w:val="both"/>
        <w:rPr>
          <w:rFonts w:ascii="Bookman Old Style" w:hAnsi="Bookman Old Style"/>
          <w:b/>
        </w:rPr>
      </w:pPr>
      <w:r>
        <w:rPr>
          <w:rFonts w:ascii="Bookman Old Style" w:hAnsi="Bookman Old Style"/>
          <w:b/>
        </w:rPr>
        <w:lastRenderedPageBreak/>
        <w:t xml:space="preserve">Method-1: </w:t>
      </w:r>
      <w:r w:rsidR="000B34B2" w:rsidRPr="000B34B2">
        <w:rPr>
          <w:rFonts w:ascii="Bookman Old Style" w:hAnsi="Bookman Old Style"/>
          <w:b/>
        </w:rPr>
        <w:t>Cumulative Distribution Loss for the Year FY-21 upto September-2020 (Provisional) -</w:t>
      </w:r>
      <w:r w:rsidR="003701FD">
        <w:rPr>
          <w:rFonts w:ascii="Bookman Old Style" w:hAnsi="Bookman Old Style"/>
          <w:b/>
        </w:rPr>
        <w:t>S</w:t>
      </w:r>
      <w:r w:rsidR="000B34B2" w:rsidRPr="000B34B2">
        <w:rPr>
          <w:rFonts w:ascii="Bookman Old Style" w:hAnsi="Bookman Old Style"/>
          <w:b/>
        </w:rPr>
        <w:t>ame month Input and same month DCB:</w:t>
      </w:r>
    </w:p>
    <w:p w:rsidR="00092826" w:rsidRPr="000B34B2" w:rsidRDefault="00092826" w:rsidP="00092826">
      <w:pPr>
        <w:spacing w:line="360" w:lineRule="auto"/>
        <w:ind w:right="67"/>
        <w:jc w:val="center"/>
        <w:rPr>
          <w:rFonts w:ascii="Bookman Old Style" w:hAnsi="Bookman Old Style" w:cs="Calibri"/>
          <w:b/>
          <w:bCs/>
          <w:sz w:val="18"/>
          <w:lang w:eastAsia="en-IN"/>
        </w:rPr>
      </w:pPr>
      <w:r w:rsidRPr="000B34B2">
        <w:rPr>
          <w:rFonts w:ascii="Bookman Old Style" w:hAnsi="Bookman Old Style" w:cs="Calibri"/>
          <w:b/>
          <w:bCs/>
          <w:sz w:val="18"/>
          <w:lang w:eastAsia="en-IN"/>
        </w:rPr>
        <w:t>Table 3.</w:t>
      </w:r>
      <w:r w:rsidR="00BD7749">
        <w:rPr>
          <w:rFonts w:ascii="Bookman Old Style" w:hAnsi="Bookman Old Style" w:cs="Calibri"/>
          <w:b/>
          <w:bCs/>
          <w:sz w:val="18"/>
          <w:lang w:eastAsia="en-IN"/>
        </w:rPr>
        <w:t>11</w:t>
      </w:r>
    </w:p>
    <w:tbl>
      <w:tblPr>
        <w:tblW w:w="9115" w:type="dxa"/>
        <w:jc w:val="center"/>
        <w:tblLook w:val="04A0" w:firstRow="1" w:lastRow="0" w:firstColumn="1" w:lastColumn="0" w:noHBand="0" w:noVBand="1"/>
      </w:tblPr>
      <w:tblGrid>
        <w:gridCol w:w="1283"/>
        <w:gridCol w:w="1394"/>
        <w:gridCol w:w="1215"/>
        <w:gridCol w:w="1361"/>
        <w:gridCol w:w="1414"/>
        <w:gridCol w:w="1031"/>
        <w:gridCol w:w="1480"/>
      </w:tblGrid>
      <w:tr w:rsidR="000B34B2" w:rsidRPr="00BD10B9" w:rsidTr="00BD10B9">
        <w:trPr>
          <w:trHeight w:val="591"/>
          <w:jc w:val="center"/>
        </w:trPr>
        <w:tc>
          <w:tcPr>
            <w:tcW w:w="1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Month</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Total Input Energy to BESCOM in M</w:t>
            </w:r>
            <w:r w:rsidR="002E1394" w:rsidRPr="00BD10B9">
              <w:rPr>
                <w:rFonts w:ascii="Bookman Old Style" w:eastAsia="Times New Roman" w:hAnsi="Bookman Old Style" w:cs="Calibri"/>
                <w:b/>
                <w:bCs/>
                <w:sz w:val="20"/>
                <w:szCs w:val="20"/>
                <w:lang w:eastAsia="en-IN"/>
              </w:rPr>
              <w:t>U</w:t>
            </w:r>
            <w:r w:rsidRPr="00BD10B9">
              <w:rPr>
                <w:rFonts w:ascii="Bookman Old Style" w:eastAsia="Times New Roman" w:hAnsi="Bookman Old Style" w:cs="Calibri"/>
                <w:b/>
                <w:bCs/>
                <w:sz w:val="20"/>
                <w:szCs w:val="20"/>
                <w:lang w:eastAsia="en-IN"/>
              </w:rPr>
              <w:t>s</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 xml:space="preserve">Metered Sales in </w:t>
            </w:r>
            <w:r w:rsidR="002E1394" w:rsidRPr="00BD10B9">
              <w:rPr>
                <w:rFonts w:ascii="Bookman Old Style" w:eastAsia="Times New Roman" w:hAnsi="Bookman Old Style" w:cs="Calibri"/>
                <w:b/>
                <w:bCs/>
                <w:sz w:val="20"/>
                <w:szCs w:val="20"/>
                <w:lang w:eastAsia="en-IN"/>
              </w:rPr>
              <w:t>MUs</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 xml:space="preserve">Unmetered Sales </w:t>
            </w:r>
            <w:r w:rsidR="002E1394" w:rsidRPr="00BD10B9">
              <w:rPr>
                <w:rFonts w:ascii="Bookman Old Style" w:eastAsia="Times New Roman" w:hAnsi="Bookman Old Style" w:cs="Calibri"/>
                <w:b/>
                <w:bCs/>
                <w:sz w:val="20"/>
                <w:szCs w:val="20"/>
                <w:lang w:eastAsia="en-IN"/>
              </w:rPr>
              <w:t>MUs</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 xml:space="preserve">Total Sales in </w:t>
            </w:r>
            <w:r w:rsidR="002E1394" w:rsidRPr="00BD10B9">
              <w:rPr>
                <w:rFonts w:ascii="Bookman Old Style" w:eastAsia="Times New Roman" w:hAnsi="Bookman Old Style" w:cs="Calibri"/>
                <w:b/>
                <w:bCs/>
                <w:sz w:val="20"/>
                <w:szCs w:val="20"/>
                <w:lang w:eastAsia="en-IN"/>
              </w:rPr>
              <w:t>MUs</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 xml:space="preserve">Energy Loss in MUs </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 Distribution Loss</w:t>
            </w:r>
          </w:p>
        </w:tc>
      </w:tr>
      <w:tr w:rsidR="000B34B2" w:rsidRPr="00BD10B9" w:rsidTr="00BD10B9">
        <w:trPr>
          <w:trHeight w:val="366"/>
          <w:jc w:val="center"/>
        </w:trPr>
        <w:tc>
          <w:tcPr>
            <w:tcW w:w="1283" w:type="dxa"/>
            <w:vMerge/>
            <w:tcBorders>
              <w:top w:val="single" w:sz="4" w:space="0" w:color="auto"/>
              <w:left w:val="single" w:sz="4" w:space="0" w:color="auto"/>
              <w:bottom w:val="single" w:sz="4" w:space="0" w:color="000000"/>
              <w:right w:val="single" w:sz="4" w:space="0" w:color="auto"/>
            </w:tcBorders>
            <w:vAlign w:val="center"/>
            <w:hideMark/>
          </w:tcPr>
          <w:p w:rsidR="009B39F8" w:rsidRPr="00BD10B9" w:rsidRDefault="009B39F8" w:rsidP="00702CCA">
            <w:pPr>
              <w:spacing w:after="0" w:line="240" w:lineRule="auto"/>
              <w:rPr>
                <w:rFonts w:ascii="Bookman Old Style" w:eastAsia="Times New Roman" w:hAnsi="Bookman Old Style" w:cs="Calibri"/>
                <w:b/>
                <w:bCs/>
                <w:sz w:val="20"/>
                <w:szCs w:val="20"/>
                <w:lang w:eastAsia="en-IN"/>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9B39F8" w:rsidRPr="00BD10B9" w:rsidRDefault="009B39F8" w:rsidP="00702CCA">
            <w:pPr>
              <w:spacing w:after="0" w:line="240" w:lineRule="auto"/>
              <w:rPr>
                <w:rFonts w:ascii="Bookman Old Style" w:eastAsia="Times New Roman" w:hAnsi="Bookman Old Style" w:cs="Calibri"/>
                <w:b/>
                <w:bCs/>
                <w:sz w:val="20"/>
                <w:szCs w:val="20"/>
                <w:lang w:eastAsia="en-IN"/>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9B39F8" w:rsidRPr="00BD10B9" w:rsidRDefault="009B39F8" w:rsidP="00702CCA">
            <w:pPr>
              <w:spacing w:after="0" w:line="240" w:lineRule="auto"/>
              <w:rPr>
                <w:rFonts w:ascii="Bookman Old Style" w:eastAsia="Times New Roman" w:hAnsi="Bookman Old Style" w:cs="Calibri"/>
                <w:b/>
                <w:bCs/>
                <w:sz w:val="20"/>
                <w:szCs w:val="20"/>
                <w:lang w:eastAsia="en-IN"/>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9B39F8" w:rsidRPr="00BD10B9" w:rsidRDefault="009B39F8" w:rsidP="00702CCA">
            <w:pPr>
              <w:spacing w:after="0" w:line="240" w:lineRule="auto"/>
              <w:rPr>
                <w:rFonts w:ascii="Bookman Old Style" w:eastAsia="Times New Roman" w:hAnsi="Bookman Old Style" w:cs="Calibri"/>
                <w:b/>
                <w:bCs/>
                <w:sz w:val="20"/>
                <w:szCs w:val="20"/>
                <w:lang w:eastAsia="en-IN"/>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9B39F8" w:rsidRPr="00BD10B9" w:rsidRDefault="009B39F8" w:rsidP="00702CCA">
            <w:pPr>
              <w:spacing w:after="0" w:line="240" w:lineRule="auto"/>
              <w:rPr>
                <w:rFonts w:ascii="Bookman Old Style" w:eastAsia="Times New Roman" w:hAnsi="Bookman Old Style" w:cs="Calibri"/>
                <w:b/>
                <w:bCs/>
                <w:sz w:val="20"/>
                <w:szCs w:val="20"/>
                <w:lang w:eastAsia="en-IN"/>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9B39F8" w:rsidRPr="00BD10B9" w:rsidRDefault="009B39F8" w:rsidP="00702CCA">
            <w:pPr>
              <w:spacing w:after="0" w:line="240" w:lineRule="auto"/>
              <w:rPr>
                <w:rFonts w:ascii="Bookman Old Style" w:eastAsia="Times New Roman" w:hAnsi="Bookman Old Style" w:cs="Calibri"/>
                <w:b/>
                <w:bCs/>
                <w:sz w:val="20"/>
                <w:szCs w:val="20"/>
                <w:lang w:eastAsia="en-IN"/>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9B39F8" w:rsidRPr="00BD10B9" w:rsidRDefault="009B39F8" w:rsidP="00702CCA">
            <w:pPr>
              <w:spacing w:after="0" w:line="240" w:lineRule="auto"/>
              <w:rPr>
                <w:rFonts w:ascii="Bookman Old Style" w:eastAsia="Times New Roman" w:hAnsi="Bookman Old Style" w:cs="Calibri"/>
                <w:b/>
                <w:bCs/>
                <w:sz w:val="20"/>
                <w:szCs w:val="20"/>
                <w:lang w:eastAsia="en-IN"/>
              </w:rPr>
            </w:pPr>
          </w:p>
        </w:tc>
      </w:tr>
      <w:tr w:rsidR="000B34B2" w:rsidRPr="00BD10B9" w:rsidTr="00BD10B9">
        <w:trPr>
          <w:trHeight w:val="39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 </w:t>
            </w:r>
          </w:p>
        </w:tc>
        <w:tc>
          <w:tcPr>
            <w:tcW w:w="1394" w:type="dxa"/>
            <w:tcBorders>
              <w:top w:val="nil"/>
              <w:left w:val="nil"/>
              <w:bottom w:val="single" w:sz="4" w:space="0" w:color="auto"/>
              <w:right w:val="single" w:sz="4" w:space="0" w:color="auto"/>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1</w:t>
            </w:r>
          </w:p>
        </w:tc>
        <w:tc>
          <w:tcPr>
            <w:tcW w:w="1215" w:type="dxa"/>
            <w:tcBorders>
              <w:top w:val="nil"/>
              <w:left w:val="nil"/>
              <w:bottom w:val="single" w:sz="4" w:space="0" w:color="auto"/>
              <w:right w:val="single" w:sz="4" w:space="0" w:color="auto"/>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2</w:t>
            </w:r>
          </w:p>
        </w:tc>
        <w:tc>
          <w:tcPr>
            <w:tcW w:w="1331" w:type="dxa"/>
            <w:tcBorders>
              <w:top w:val="nil"/>
              <w:left w:val="nil"/>
              <w:bottom w:val="single" w:sz="4" w:space="0" w:color="auto"/>
              <w:right w:val="single" w:sz="4" w:space="0" w:color="auto"/>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3</w:t>
            </w:r>
          </w:p>
        </w:tc>
        <w:tc>
          <w:tcPr>
            <w:tcW w:w="1414" w:type="dxa"/>
            <w:tcBorders>
              <w:top w:val="nil"/>
              <w:left w:val="nil"/>
              <w:bottom w:val="single" w:sz="4" w:space="0" w:color="auto"/>
              <w:right w:val="single" w:sz="4" w:space="0" w:color="auto"/>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4=2+3</w:t>
            </w:r>
          </w:p>
        </w:tc>
        <w:tc>
          <w:tcPr>
            <w:tcW w:w="1031" w:type="dxa"/>
            <w:tcBorders>
              <w:top w:val="nil"/>
              <w:left w:val="nil"/>
              <w:bottom w:val="single" w:sz="4" w:space="0" w:color="auto"/>
              <w:right w:val="single" w:sz="4" w:space="0" w:color="auto"/>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5=1-4</w:t>
            </w:r>
          </w:p>
        </w:tc>
        <w:tc>
          <w:tcPr>
            <w:tcW w:w="1447" w:type="dxa"/>
            <w:tcBorders>
              <w:top w:val="nil"/>
              <w:left w:val="nil"/>
              <w:bottom w:val="single" w:sz="4" w:space="0" w:color="auto"/>
              <w:right w:val="single" w:sz="4" w:space="0" w:color="auto"/>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6=5/1</w:t>
            </w:r>
          </w:p>
        </w:tc>
      </w:tr>
      <w:tr w:rsidR="000B34B2" w:rsidRPr="00BD10B9" w:rsidTr="00BD10B9">
        <w:trPr>
          <w:trHeight w:val="337"/>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Apr-20</w:t>
            </w:r>
          </w:p>
        </w:tc>
        <w:tc>
          <w:tcPr>
            <w:tcW w:w="1394"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2457.93</w:t>
            </w:r>
          </w:p>
        </w:tc>
        <w:tc>
          <w:tcPr>
            <w:tcW w:w="1215"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1563.14</w:t>
            </w:r>
          </w:p>
        </w:tc>
        <w:tc>
          <w:tcPr>
            <w:tcW w:w="1331"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857.23</w:t>
            </w:r>
          </w:p>
        </w:tc>
        <w:tc>
          <w:tcPr>
            <w:tcW w:w="1414"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2420.37</w:t>
            </w:r>
          </w:p>
        </w:tc>
        <w:tc>
          <w:tcPr>
            <w:tcW w:w="1031"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37.56</w:t>
            </w:r>
          </w:p>
        </w:tc>
        <w:tc>
          <w:tcPr>
            <w:tcW w:w="1447"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1.53</w:t>
            </w:r>
          </w:p>
        </w:tc>
      </w:tr>
      <w:tr w:rsidR="000B34B2" w:rsidRPr="00BD10B9" w:rsidTr="00BD10B9">
        <w:trPr>
          <w:trHeight w:val="337"/>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May-20</w:t>
            </w:r>
          </w:p>
        </w:tc>
        <w:tc>
          <w:tcPr>
            <w:tcW w:w="1394"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2532.47</w:t>
            </w:r>
          </w:p>
        </w:tc>
        <w:tc>
          <w:tcPr>
            <w:tcW w:w="1215"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1363.32</w:t>
            </w:r>
          </w:p>
        </w:tc>
        <w:tc>
          <w:tcPr>
            <w:tcW w:w="1331"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711.89</w:t>
            </w:r>
          </w:p>
        </w:tc>
        <w:tc>
          <w:tcPr>
            <w:tcW w:w="1414"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2075.22</w:t>
            </w:r>
          </w:p>
        </w:tc>
        <w:tc>
          <w:tcPr>
            <w:tcW w:w="1031"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457.26</w:t>
            </w:r>
          </w:p>
        </w:tc>
        <w:tc>
          <w:tcPr>
            <w:tcW w:w="1447"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18.06%</w:t>
            </w:r>
          </w:p>
        </w:tc>
      </w:tr>
      <w:tr w:rsidR="000B34B2" w:rsidRPr="00BD10B9" w:rsidTr="00BD10B9">
        <w:trPr>
          <w:trHeight w:val="337"/>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Jun-20</w:t>
            </w:r>
          </w:p>
        </w:tc>
        <w:tc>
          <w:tcPr>
            <w:tcW w:w="1394"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2276.33</w:t>
            </w:r>
          </w:p>
        </w:tc>
        <w:tc>
          <w:tcPr>
            <w:tcW w:w="1215"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1585.69</w:t>
            </w:r>
          </w:p>
        </w:tc>
        <w:tc>
          <w:tcPr>
            <w:tcW w:w="1331" w:type="dxa"/>
            <w:tcBorders>
              <w:top w:val="single" w:sz="4" w:space="0" w:color="00FF00"/>
              <w:left w:val="single" w:sz="4" w:space="0" w:color="00FF00"/>
              <w:bottom w:val="single" w:sz="4" w:space="0" w:color="00FF00"/>
              <w:right w:val="single" w:sz="4" w:space="0" w:color="00FF00"/>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615.59</w:t>
            </w:r>
          </w:p>
        </w:tc>
        <w:tc>
          <w:tcPr>
            <w:tcW w:w="1414" w:type="dxa"/>
            <w:tcBorders>
              <w:top w:val="single" w:sz="4" w:space="0" w:color="00FF00"/>
              <w:left w:val="nil"/>
              <w:bottom w:val="single" w:sz="4" w:space="0" w:color="00FF00"/>
              <w:right w:val="single" w:sz="4" w:space="0" w:color="00FF00"/>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2201.28</w:t>
            </w:r>
          </w:p>
        </w:tc>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75.05</w:t>
            </w:r>
          </w:p>
        </w:tc>
        <w:tc>
          <w:tcPr>
            <w:tcW w:w="1447"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3.30%</w:t>
            </w:r>
          </w:p>
        </w:tc>
      </w:tr>
      <w:tr w:rsidR="000B34B2" w:rsidRPr="00BD10B9" w:rsidTr="00BD10B9">
        <w:trPr>
          <w:trHeight w:val="337"/>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1st Quarter</w:t>
            </w:r>
          </w:p>
        </w:tc>
        <w:tc>
          <w:tcPr>
            <w:tcW w:w="1394"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7266.73</w:t>
            </w:r>
          </w:p>
        </w:tc>
        <w:tc>
          <w:tcPr>
            <w:tcW w:w="1215"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4512.15</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2184.72</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6696.87</w:t>
            </w:r>
          </w:p>
        </w:tc>
        <w:tc>
          <w:tcPr>
            <w:tcW w:w="1031"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569.86</w:t>
            </w:r>
          </w:p>
        </w:tc>
        <w:tc>
          <w:tcPr>
            <w:tcW w:w="1447"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7.84%</w:t>
            </w:r>
          </w:p>
        </w:tc>
      </w:tr>
      <w:tr w:rsidR="000B34B2" w:rsidRPr="00BD10B9" w:rsidTr="00BD10B9">
        <w:trPr>
          <w:trHeight w:val="337"/>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Jul-20</w:t>
            </w:r>
          </w:p>
        </w:tc>
        <w:tc>
          <w:tcPr>
            <w:tcW w:w="1394"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1990.68</w:t>
            </w:r>
          </w:p>
        </w:tc>
        <w:tc>
          <w:tcPr>
            <w:tcW w:w="1215"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1503.24</w:t>
            </w:r>
          </w:p>
        </w:tc>
        <w:tc>
          <w:tcPr>
            <w:tcW w:w="1331" w:type="dxa"/>
            <w:tcBorders>
              <w:top w:val="single" w:sz="4" w:space="0" w:color="00FF00"/>
              <w:left w:val="single" w:sz="4" w:space="0" w:color="00FF00"/>
              <w:bottom w:val="single" w:sz="4" w:space="0" w:color="00FF00"/>
              <w:right w:val="single" w:sz="4" w:space="0" w:color="00FF00"/>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482.00</w:t>
            </w:r>
          </w:p>
        </w:tc>
        <w:tc>
          <w:tcPr>
            <w:tcW w:w="1414" w:type="dxa"/>
            <w:tcBorders>
              <w:top w:val="single" w:sz="4" w:space="0" w:color="00FF00"/>
              <w:left w:val="nil"/>
              <w:bottom w:val="single" w:sz="4" w:space="0" w:color="00FF00"/>
              <w:right w:val="single" w:sz="4" w:space="0" w:color="00FF00"/>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1985.24</w:t>
            </w:r>
          </w:p>
        </w:tc>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5.44</w:t>
            </w:r>
          </w:p>
        </w:tc>
        <w:tc>
          <w:tcPr>
            <w:tcW w:w="1447"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0.27%</w:t>
            </w:r>
          </w:p>
        </w:tc>
      </w:tr>
      <w:tr w:rsidR="000B34B2" w:rsidRPr="00BD10B9" w:rsidTr="00BD10B9">
        <w:trPr>
          <w:trHeight w:val="337"/>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Aug-20</w:t>
            </w:r>
          </w:p>
        </w:tc>
        <w:tc>
          <w:tcPr>
            <w:tcW w:w="1394"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2089.28</w:t>
            </w:r>
          </w:p>
        </w:tc>
        <w:tc>
          <w:tcPr>
            <w:tcW w:w="1215"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1485.05</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285.69</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1770.75</w:t>
            </w:r>
          </w:p>
        </w:tc>
        <w:tc>
          <w:tcPr>
            <w:tcW w:w="1031"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318.53</w:t>
            </w:r>
          </w:p>
        </w:tc>
        <w:tc>
          <w:tcPr>
            <w:tcW w:w="1447"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15.25%</w:t>
            </w:r>
          </w:p>
        </w:tc>
      </w:tr>
      <w:tr w:rsidR="000B34B2" w:rsidRPr="00BD10B9" w:rsidTr="00BD10B9">
        <w:trPr>
          <w:trHeight w:val="337"/>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Sep-20</w:t>
            </w:r>
          </w:p>
        </w:tc>
        <w:tc>
          <w:tcPr>
            <w:tcW w:w="1394"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1924.61</w:t>
            </w:r>
          </w:p>
        </w:tc>
        <w:tc>
          <w:tcPr>
            <w:tcW w:w="1215"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1528.57</w:t>
            </w:r>
          </w:p>
        </w:tc>
        <w:tc>
          <w:tcPr>
            <w:tcW w:w="1331" w:type="dxa"/>
            <w:tcBorders>
              <w:top w:val="nil"/>
              <w:left w:val="nil"/>
              <w:bottom w:val="single" w:sz="4" w:space="0" w:color="auto"/>
              <w:right w:val="single" w:sz="4" w:space="0" w:color="auto"/>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358.62</w:t>
            </w:r>
          </w:p>
        </w:tc>
        <w:tc>
          <w:tcPr>
            <w:tcW w:w="1414" w:type="dxa"/>
            <w:tcBorders>
              <w:top w:val="nil"/>
              <w:left w:val="nil"/>
              <w:bottom w:val="single" w:sz="4" w:space="0" w:color="auto"/>
              <w:right w:val="single" w:sz="4" w:space="0" w:color="auto"/>
            </w:tcBorders>
            <w:shd w:val="clear" w:color="auto" w:fill="auto"/>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1887.19</w:t>
            </w:r>
          </w:p>
        </w:tc>
        <w:tc>
          <w:tcPr>
            <w:tcW w:w="1031"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37.42</w:t>
            </w:r>
          </w:p>
        </w:tc>
        <w:tc>
          <w:tcPr>
            <w:tcW w:w="1447"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sz w:val="20"/>
                <w:szCs w:val="20"/>
                <w:lang w:eastAsia="en-IN"/>
              </w:rPr>
            </w:pPr>
            <w:r w:rsidRPr="00BD10B9">
              <w:rPr>
                <w:rFonts w:ascii="Bookman Old Style" w:eastAsia="Times New Roman" w:hAnsi="Bookman Old Style" w:cs="Calibri"/>
                <w:sz w:val="20"/>
                <w:szCs w:val="20"/>
                <w:lang w:eastAsia="en-IN"/>
              </w:rPr>
              <w:t>1.94%</w:t>
            </w:r>
          </w:p>
        </w:tc>
      </w:tr>
      <w:tr w:rsidR="000B34B2" w:rsidRPr="00BD10B9" w:rsidTr="00BD10B9">
        <w:trPr>
          <w:trHeight w:val="337"/>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2nd Quarter</w:t>
            </w:r>
          </w:p>
        </w:tc>
        <w:tc>
          <w:tcPr>
            <w:tcW w:w="1394"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6004.56</w:t>
            </w:r>
          </w:p>
        </w:tc>
        <w:tc>
          <w:tcPr>
            <w:tcW w:w="1215"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4516.87</w:t>
            </w:r>
          </w:p>
        </w:tc>
        <w:tc>
          <w:tcPr>
            <w:tcW w:w="1331"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1126.31</w:t>
            </w:r>
          </w:p>
        </w:tc>
        <w:tc>
          <w:tcPr>
            <w:tcW w:w="1414"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5643.17</w:t>
            </w:r>
          </w:p>
        </w:tc>
        <w:tc>
          <w:tcPr>
            <w:tcW w:w="1031"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361.39</w:t>
            </w:r>
          </w:p>
        </w:tc>
        <w:tc>
          <w:tcPr>
            <w:tcW w:w="1447"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6.02%</w:t>
            </w:r>
          </w:p>
        </w:tc>
      </w:tr>
      <w:tr w:rsidR="000B34B2" w:rsidRPr="00BD10B9" w:rsidTr="00BD10B9">
        <w:trPr>
          <w:trHeight w:val="359"/>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9B39F8" w:rsidRPr="00BD10B9" w:rsidRDefault="009B39F8" w:rsidP="00702CCA">
            <w:pPr>
              <w:spacing w:after="0" w:line="240" w:lineRule="auto"/>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 xml:space="preserve">Cum FY-20 </w:t>
            </w:r>
          </w:p>
        </w:tc>
        <w:tc>
          <w:tcPr>
            <w:tcW w:w="1394"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13271.29</w:t>
            </w:r>
          </w:p>
        </w:tc>
        <w:tc>
          <w:tcPr>
            <w:tcW w:w="1215"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9029.02</w:t>
            </w:r>
          </w:p>
        </w:tc>
        <w:tc>
          <w:tcPr>
            <w:tcW w:w="1331"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3311.03</w:t>
            </w:r>
          </w:p>
        </w:tc>
        <w:tc>
          <w:tcPr>
            <w:tcW w:w="1414"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12340.04</w:t>
            </w:r>
          </w:p>
        </w:tc>
        <w:tc>
          <w:tcPr>
            <w:tcW w:w="1031"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931.25</w:t>
            </w:r>
          </w:p>
        </w:tc>
        <w:tc>
          <w:tcPr>
            <w:tcW w:w="1447" w:type="dxa"/>
            <w:tcBorders>
              <w:top w:val="nil"/>
              <w:left w:val="nil"/>
              <w:bottom w:val="single" w:sz="4" w:space="0" w:color="auto"/>
              <w:right w:val="single" w:sz="4" w:space="0" w:color="auto"/>
            </w:tcBorders>
            <w:shd w:val="clear" w:color="auto" w:fill="auto"/>
            <w:noWrap/>
            <w:vAlign w:val="center"/>
            <w:hideMark/>
          </w:tcPr>
          <w:p w:rsidR="009B39F8" w:rsidRPr="00BD10B9" w:rsidRDefault="009B39F8" w:rsidP="00702CCA">
            <w:pPr>
              <w:spacing w:after="0" w:line="240" w:lineRule="auto"/>
              <w:jc w:val="center"/>
              <w:rPr>
                <w:rFonts w:ascii="Bookman Old Style" w:eastAsia="Times New Roman" w:hAnsi="Bookman Old Style" w:cs="Calibri"/>
                <w:b/>
                <w:bCs/>
                <w:sz w:val="20"/>
                <w:szCs w:val="20"/>
                <w:lang w:eastAsia="en-IN"/>
              </w:rPr>
            </w:pPr>
            <w:r w:rsidRPr="00BD10B9">
              <w:rPr>
                <w:rFonts w:ascii="Bookman Old Style" w:eastAsia="Times New Roman" w:hAnsi="Bookman Old Style" w:cs="Calibri"/>
                <w:b/>
                <w:bCs/>
                <w:sz w:val="20"/>
                <w:szCs w:val="20"/>
                <w:lang w:eastAsia="en-IN"/>
              </w:rPr>
              <w:t>7.02%</w:t>
            </w:r>
          </w:p>
        </w:tc>
      </w:tr>
    </w:tbl>
    <w:p w:rsidR="00381ACE" w:rsidRPr="00BD7749" w:rsidRDefault="00381ACE" w:rsidP="00717D3E">
      <w:pPr>
        <w:spacing w:line="360" w:lineRule="auto"/>
        <w:ind w:left="-567" w:right="67"/>
        <w:jc w:val="both"/>
        <w:rPr>
          <w:rFonts w:ascii="Bookman Old Style" w:hAnsi="Bookman Old Style"/>
        </w:rPr>
      </w:pPr>
    </w:p>
    <w:p w:rsidR="000B34B2" w:rsidRPr="00BD7749" w:rsidRDefault="000138BA" w:rsidP="00C42516">
      <w:pPr>
        <w:spacing w:line="360" w:lineRule="auto"/>
        <w:ind w:right="67"/>
        <w:jc w:val="both"/>
        <w:rPr>
          <w:rFonts w:ascii="Bookman Old Style" w:hAnsi="Bookman Old Style"/>
        </w:rPr>
      </w:pPr>
      <w:r w:rsidRPr="00BD7749">
        <w:rPr>
          <w:rFonts w:ascii="Bookman Old Style" w:hAnsi="Bookman Old Style"/>
          <w:b/>
        </w:rPr>
        <w:t>Method</w:t>
      </w:r>
      <w:r w:rsidR="00BD7749" w:rsidRPr="00BD7749">
        <w:rPr>
          <w:rFonts w:ascii="Bookman Old Style" w:hAnsi="Bookman Old Style"/>
          <w:b/>
        </w:rPr>
        <w:t>-</w:t>
      </w:r>
      <w:r w:rsidRPr="00BD7749">
        <w:rPr>
          <w:rFonts w:ascii="Bookman Old Style" w:hAnsi="Bookman Old Style"/>
          <w:b/>
        </w:rPr>
        <w:t>2</w:t>
      </w:r>
      <w:r w:rsidR="000B34B2" w:rsidRPr="00BD7749">
        <w:rPr>
          <w:rFonts w:ascii="Bookman Old Style" w:hAnsi="Bookman Old Style"/>
          <w:b/>
        </w:rPr>
        <w:t>:</w:t>
      </w:r>
      <w:r w:rsidR="00BD7749" w:rsidRPr="00BD7749">
        <w:rPr>
          <w:rFonts w:ascii="Bookman Old Style" w:hAnsi="Bookman Old Style"/>
          <w:b/>
        </w:rPr>
        <w:t xml:space="preserve"> </w:t>
      </w:r>
      <w:r w:rsidR="000B34B2" w:rsidRPr="00BD7749">
        <w:rPr>
          <w:rFonts w:ascii="Bookman Old Style" w:hAnsi="Bookman Old Style" w:cs="Calibri"/>
          <w:b/>
          <w:bCs/>
          <w:lang w:eastAsia="en-IN"/>
        </w:rPr>
        <w:t xml:space="preserve">Cumulative Distribution Loss for the Year FY-21 upto </w:t>
      </w:r>
      <w:r w:rsidR="0071396F" w:rsidRPr="000B34B2">
        <w:rPr>
          <w:rFonts w:ascii="Bookman Old Style" w:hAnsi="Bookman Old Style"/>
          <w:b/>
        </w:rPr>
        <w:t>September</w:t>
      </w:r>
      <w:r w:rsidR="000B34B2" w:rsidRPr="00BD7749">
        <w:rPr>
          <w:rFonts w:ascii="Bookman Old Style" w:hAnsi="Bookman Old Style" w:cs="Calibri"/>
          <w:b/>
          <w:bCs/>
          <w:lang w:eastAsia="en-IN"/>
        </w:rPr>
        <w:t xml:space="preserve">-2020 (Provisional) </w:t>
      </w:r>
      <w:r w:rsidR="00C42516">
        <w:rPr>
          <w:rFonts w:ascii="Bookman Old Style" w:hAnsi="Bookman Old Style" w:cs="Calibri"/>
          <w:b/>
          <w:bCs/>
          <w:lang w:eastAsia="en-IN"/>
        </w:rPr>
        <w:t>–Last month Input and same month DCB</w:t>
      </w:r>
      <w:r w:rsidR="000B34B2" w:rsidRPr="00BD7749">
        <w:rPr>
          <w:rFonts w:ascii="Bookman Old Style" w:hAnsi="Bookman Old Style" w:cs="Calibri"/>
          <w:b/>
          <w:bCs/>
          <w:lang w:eastAsia="en-IN"/>
        </w:rPr>
        <w:t>:</w:t>
      </w:r>
    </w:p>
    <w:p w:rsidR="000138BA" w:rsidRPr="000B34B2" w:rsidRDefault="000138BA" w:rsidP="000138BA">
      <w:pPr>
        <w:spacing w:line="360" w:lineRule="auto"/>
        <w:ind w:right="67"/>
        <w:jc w:val="center"/>
        <w:rPr>
          <w:rFonts w:ascii="Bookman Old Style" w:hAnsi="Bookman Old Style" w:cs="Calibri"/>
          <w:b/>
          <w:bCs/>
          <w:sz w:val="18"/>
          <w:lang w:eastAsia="en-IN"/>
        </w:rPr>
      </w:pPr>
      <w:r w:rsidRPr="000B34B2">
        <w:rPr>
          <w:rFonts w:ascii="Bookman Old Style" w:hAnsi="Bookman Old Style" w:cs="Calibri"/>
          <w:b/>
          <w:bCs/>
          <w:sz w:val="18"/>
          <w:lang w:eastAsia="en-IN"/>
        </w:rPr>
        <w:t>Table 3.</w:t>
      </w:r>
      <w:r w:rsidR="00BD7749">
        <w:rPr>
          <w:rFonts w:ascii="Bookman Old Style" w:hAnsi="Bookman Old Style" w:cs="Calibri"/>
          <w:b/>
          <w:bCs/>
          <w:sz w:val="18"/>
          <w:lang w:eastAsia="en-IN"/>
        </w:rPr>
        <w:t>12</w:t>
      </w:r>
    </w:p>
    <w:tbl>
      <w:tblPr>
        <w:tblW w:w="9236" w:type="dxa"/>
        <w:jc w:val="center"/>
        <w:tblLook w:val="04A0" w:firstRow="1" w:lastRow="0" w:firstColumn="1" w:lastColumn="0" w:noHBand="0" w:noVBand="1"/>
      </w:tblPr>
      <w:tblGrid>
        <w:gridCol w:w="1286"/>
        <w:gridCol w:w="1388"/>
        <w:gridCol w:w="1236"/>
        <w:gridCol w:w="1368"/>
        <w:gridCol w:w="1388"/>
        <w:gridCol w:w="1082"/>
        <w:gridCol w:w="1488"/>
      </w:tblGrid>
      <w:tr w:rsidR="00BD7749" w:rsidRPr="00312669" w:rsidTr="00C42516">
        <w:trPr>
          <w:trHeight w:val="352"/>
          <w:jc w:val="center"/>
        </w:trPr>
        <w:tc>
          <w:tcPr>
            <w:tcW w:w="12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Month</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Total Input Energy to BESCOM in MUs</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Metered Sales in MUs</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Unmetered Sales MUs</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Total Sales in MUs</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 xml:space="preserve">Energy Loss in MUs </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 Distribution Loss</w:t>
            </w:r>
          </w:p>
        </w:tc>
      </w:tr>
      <w:tr w:rsidR="00BD7749" w:rsidRPr="00312669" w:rsidTr="00C42516">
        <w:trPr>
          <w:trHeight w:val="352"/>
          <w:jc w:val="center"/>
        </w:trPr>
        <w:tc>
          <w:tcPr>
            <w:tcW w:w="1286" w:type="dxa"/>
            <w:vMerge/>
            <w:tcBorders>
              <w:top w:val="single" w:sz="4" w:space="0" w:color="auto"/>
              <w:left w:val="single" w:sz="4" w:space="0" w:color="auto"/>
              <w:bottom w:val="single" w:sz="4" w:space="0" w:color="000000"/>
              <w:right w:val="single" w:sz="4" w:space="0" w:color="auto"/>
            </w:tcBorders>
            <w:vAlign w:val="center"/>
            <w:hideMark/>
          </w:tcPr>
          <w:p w:rsidR="000138BA" w:rsidRPr="00312669" w:rsidRDefault="000138BA" w:rsidP="00702CCA">
            <w:pPr>
              <w:spacing w:after="0" w:line="276" w:lineRule="auto"/>
              <w:rPr>
                <w:rFonts w:ascii="Bookman Old Style" w:eastAsia="Times New Roman" w:hAnsi="Bookman Old Style" w:cs="Calibri"/>
                <w:b/>
                <w:bCs/>
                <w:sz w:val="20"/>
                <w:szCs w:val="20"/>
                <w:lang w:eastAsia="en-IN"/>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0138BA" w:rsidRPr="00312669" w:rsidRDefault="000138BA" w:rsidP="00702CCA">
            <w:pPr>
              <w:spacing w:after="0" w:line="276" w:lineRule="auto"/>
              <w:rPr>
                <w:rFonts w:ascii="Bookman Old Style" w:eastAsia="Times New Roman" w:hAnsi="Bookman Old Style" w:cs="Calibri"/>
                <w:b/>
                <w:bCs/>
                <w:sz w:val="20"/>
                <w:szCs w:val="20"/>
                <w:lang w:eastAsia="en-IN"/>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0138BA" w:rsidRPr="00312669" w:rsidRDefault="000138BA" w:rsidP="00702CCA">
            <w:pPr>
              <w:spacing w:after="0" w:line="276" w:lineRule="auto"/>
              <w:rPr>
                <w:rFonts w:ascii="Bookman Old Style" w:eastAsia="Times New Roman" w:hAnsi="Bookman Old Style" w:cs="Calibri"/>
                <w:b/>
                <w:bCs/>
                <w:sz w:val="20"/>
                <w:szCs w:val="20"/>
                <w:lang w:eastAsia="en-IN"/>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0138BA" w:rsidRPr="00312669" w:rsidRDefault="000138BA" w:rsidP="00702CCA">
            <w:pPr>
              <w:spacing w:after="0" w:line="276" w:lineRule="auto"/>
              <w:rPr>
                <w:rFonts w:ascii="Bookman Old Style" w:eastAsia="Times New Roman" w:hAnsi="Bookman Old Style" w:cs="Calibri"/>
                <w:b/>
                <w:bCs/>
                <w:sz w:val="20"/>
                <w:szCs w:val="20"/>
                <w:lang w:eastAsia="en-IN"/>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0138BA" w:rsidRPr="00312669" w:rsidRDefault="000138BA" w:rsidP="00702CCA">
            <w:pPr>
              <w:spacing w:after="0" w:line="276" w:lineRule="auto"/>
              <w:rPr>
                <w:rFonts w:ascii="Bookman Old Style" w:eastAsia="Times New Roman" w:hAnsi="Bookman Old Style" w:cs="Calibri"/>
                <w:b/>
                <w:bCs/>
                <w:sz w:val="20"/>
                <w:szCs w:val="20"/>
                <w:lang w:eastAsia="en-IN"/>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0138BA" w:rsidRPr="00312669" w:rsidRDefault="000138BA" w:rsidP="00702CCA">
            <w:pPr>
              <w:spacing w:after="0" w:line="276" w:lineRule="auto"/>
              <w:rPr>
                <w:rFonts w:ascii="Bookman Old Style" w:eastAsia="Times New Roman" w:hAnsi="Bookman Old Style" w:cs="Calibri"/>
                <w:b/>
                <w:bCs/>
                <w:sz w:val="20"/>
                <w:szCs w:val="20"/>
                <w:lang w:eastAsia="en-IN"/>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138BA" w:rsidRPr="00312669" w:rsidRDefault="000138BA" w:rsidP="00702CCA">
            <w:pPr>
              <w:spacing w:after="0" w:line="276" w:lineRule="auto"/>
              <w:rPr>
                <w:rFonts w:ascii="Bookman Old Style" w:eastAsia="Times New Roman" w:hAnsi="Bookman Old Style" w:cs="Calibri"/>
                <w:b/>
                <w:bCs/>
                <w:sz w:val="20"/>
                <w:szCs w:val="20"/>
                <w:lang w:eastAsia="en-IN"/>
              </w:rPr>
            </w:pPr>
          </w:p>
        </w:tc>
      </w:tr>
      <w:tr w:rsidR="00BD7749" w:rsidRPr="00312669" w:rsidTr="00C42516">
        <w:trPr>
          <w:trHeight w:val="169"/>
          <w:jc w:val="center"/>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 </w:t>
            </w:r>
          </w:p>
        </w:tc>
        <w:tc>
          <w:tcPr>
            <w:tcW w:w="1388" w:type="dxa"/>
            <w:tcBorders>
              <w:top w:val="nil"/>
              <w:left w:val="nil"/>
              <w:bottom w:val="single" w:sz="4" w:space="0" w:color="auto"/>
              <w:right w:val="single" w:sz="4" w:space="0" w:color="auto"/>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1</w:t>
            </w:r>
          </w:p>
        </w:tc>
        <w:tc>
          <w:tcPr>
            <w:tcW w:w="1236" w:type="dxa"/>
            <w:tcBorders>
              <w:top w:val="nil"/>
              <w:left w:val="nil"/>
              <w:bottom w:val="single" w:sz="4" w:space="0" w:color="auto"/>
              <w:right w:val="single" w:sz="4" w:space="0" w:color="auto"/>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2</w:t>
            </w:r>
          </w:p>
        </w:tc>
        <w:tc>
          <w:tcPr>
            <w:tcW w:w="1368" w:type="dxa"/>
            <w:tcBorders>
              <w:top w:val="nil"/>
              <w:left w:val="nil"/>
              <w:bottom w:val="single" w:sz="4" w:space="0" w:color="auto"/>
              <w:right w:val="single" w:sz="4" w:space="0" w:color="auto"/>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3</w:t>
            </w:r>
          </w:p>
        </w:tc>
        <w:tc>
          <w:tcPr>
            <w:tcW w:w="1388" w:type="dxa"/>
            <w:tcBorders>
              <w:top w:val="nil"/>
              <w:left w:val="nil"/>
              <w:bottom w:val="single" w:sz="4" w:space="0" w:color="auto"/>
              <w:right w:val="single" w:sz="4" w:space="0" w:color="auto"/>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4=2+3</w:t>
            </w:r>
          </w:p>
        </w:tc>
        <w:tc>
          <w:tcPr>
            <w:tcW w:w="1082" w:type="dxa"/>
            <w:tcBorders>
              <w:top w:val="nil"/>
              <w:left w:val="nil"/>
              <w:bottom w:val="single" w:sz="4" w:space="0" w:color="auto"/>
              <w:right w:val="single" w:sz="4" w:space="0" w:color="auto"/>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5=1-4</w:t>
            </w:r>
          </w:p>
        </w:tc>
        <w:tc>
          <w:tcPr>
            <w:tcW w:w="1488" w:type="dxa"/>
            <w:tcBorders>
              <w:top w:val="nil"/>
              <w:left w:val="nil"/>
              <w:bottom w:val="single" w:sz="4" w:space="0" w:color="auto"/>
              <w:right w:val="single" w:sz="4" w:space="0" w:color="auto"/>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6=5/1</w:t>
            </w:r>
          </w:p>
        </w:tc>
      </w:tr>
      <w:tr w:rsidR="00BD7749" w:rsidRPr="00312669" w:rsidTr="00C42516">
        <w:trPr>
          <w:trHeight w:val="146"/>
          <w:jc w:val="center"/>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Apr-19</w:t>
            </w:r>
          </w:p>
        </w:tc>
        <w:tc>
          <w:tcPr>
            <w:tcW w:w="13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2997.36</w:t>
            </w:r>
          </w:p>
        </w:tc>
        <w:tc>
          <w:tcPr>
            <w:tcW w:w="1236"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1563.14</w:t>
            </w:r>
          </w:p>
        </w:tc>
        <w:tc>
          <w:tcPr>
            <w:tcW w:w="136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857.23</w:t>
            </w:r>
          </w:p>
        </w:tc>
        <w:tc>
          <w:tcPr>
            <w:tcW w:w="13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2420.37</w:t>
            </w:r>
          </w:p>
        </w:tc>
        <w:tc>
          <w:tcPr>
            <w:tcW w:w="1082"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576.99</w:t>
            </w:r>
          </w:p>
        </w:tc>
        <w:tc>
          <w:tcPr>
            <w:tcW w:w="14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19.25</w:t>
            </w:r>
          </w:p>
        </w:tc>
      </w:tr>
      <w:tr w:rsidR="00BD7749" w:rsidRPr="00312669" w:rsidTr="00C42516">
        <w:trPr>
          <w:trHeight w:val="146"/>
          <w:jc w:val="center"/>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May-19</w:t>
            </w:r>
          </w:p>
        </w:tc>
        <w:tc>
          <w:tcPr>
            <w:tcW w:w="13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2457.93</w:t>
            </w:r>
          </w:p>
        </w:tc>
        <w:tc>
          <w:tcPr>
            <w:tcW w:w="1236"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1363.32</w:t>
            </w:r>
          </w:p>
        </w:tc>
        <w:tc>
          <w:tcPr>
            <w:tcW w:w="136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711.89</w:t>
            </w:r>
          </w:p>
        </w:tc>
        <w:tc>
          <w:tcPr>
            <w:tcW w:w="13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2075.22</w:t>
            </w:r>
          </w:p>
        </w:tc>
        <w:tc>
          <w:tcPr>
            <w:tcW w:w="1082"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382.71</w:t>
            </w:r>
          </w:p>
        </w:tc>
        <w:tc>
          <w:tcPr>
            <w:tcW w:w="14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15.57%</w:t>
            </w:r>
          </w:p>
        </w:tc>
      </w:tr>
      <w:tr w:rsidR="00BD7749" w:rsidRPr="00312669" w:rsidTr="00C42516">
        <w:trPr>
          <w:trHeight w:val="146"/>
          <w:jc w:val="center"/>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Jun-19</w:t>
            </w:r>
          </w:p>
        </w:tc>
        <w:tc>
          <w:tcPr>
            <w:tcW w:w="13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2532.47</w:t>
            </w:r>
          </w:p>
        </w:tc>
        <w:tc>
          <w:tcPr>
            <w:tcW w:w="1236"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1585.69</w:t>
            </w:r>
          </w:p>
        </w:tc>
        <w:tc>
          <w:tcPr>
            <w:tcW w:w="1368" w:type="dxa"/>
            <w:tcBorders>
              <w:top w:val="single" w:sz="4" w:space="0" w:color="00FF00"/>
              <w:left w:val="single" w:sz="4" w:space="0" w:color="00FF00"/>
              <w:bottom w:val="single" w:sz="4" w:space="0" w:color="00FF00"/>
              <w:right w:val="single" w:sz="4" w:space="0" w:color="00FF00"/>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615.59</w:t>
            </w:r>
          </w:p>
        </w:tc>
        <w:tc>
          <w:tcPr>
            <w:tcW w:w="1388" w:type="dxa"/>
            <w:tcBorders>
              <w:top w:val="single" w:sz="4" w:space="0" w:color="00FF00"/>
              <w:left w:val="nil"/>
              <w:bottom w:val="single" w:sz="4" w:space="0" w:color="00FF00"/>
              <w:right w:val="single" w:sz="4" w:space="0" w:color="00FF00"/>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2201.28</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331.19</w:t>
            </w:r>
          </w:p>
        </w:tc>
        <w:tc>
          <w:tcPr>
            <w:tcW w:w="14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13.08%</w:t>
            </w:r>
          </w:p>
        </w:tc>
      </w:tr>
      <w:tr w:rsidR="00BD7749" w:rsidRPr="00312669" w:rsidTr="00C42516">
        <w:trPr>
          <w:trHeight w:val="146"/>
          <w:jc w:val="center"/>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1st Quarter</w:t>
            </w:r>
          </w:p>
        </w:tc>
        <w:tc>
          <w:tcPr>
            <w:tcW w:w="13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7987.76</w:t>
            </w:r>
          </w:p>
        </w:tc>
        <w:tc>
          <w:tcPr>
            <w:tcW w:w="1236"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4512.15</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2184.72</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6696.87</w:t>
            </w:r>
          </w:p>
        </w:tc>
        <w:tc>
          <w:tcPr>
            <w:tcW w:w="1082"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1290.89</w:t>
            </w:r>
          </w:p>
        </w:tc>
        <w:tc>
          <w:tcPr>
            <w:tcW w:w="14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16.16%</w:t>
            </w:r>
          </w:p>
        </w:tc>
      </w:tr>
      <w:tr w:rsidR="00BD7749" w:rsidRPr="00312669" w:rsidTr="00C42516">
        <w:trPr>
          <w:trHeight w:val="146"/>
          <w:jc w:val="center"/>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Jul-19</w:t>
            </w:r>
          </w:p>
        </w:tc>
        <w:tc>
          <w:tcPr>
            <w:tcW w:w="13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2276.33</w:t>
            </w:r>
          </w:p>
        </w:tc>
        <w:tc>
          <w:tcPr>
            <w:tcW w:w="1236"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1503.24</w:t>
            </w:r>
          </w:p>
        </w:tc>
        <w:tc>
          <w:tcPr>
            <w:tcW w:w="1368" w:type="dxa"/>
            <w:tcBorders>
              <w:top w:val="single" w:sz="4" w:space="0" w:color="00FF00"/>
              <w:left w:val="single" w:sz="4" w:space="0" w:color="00FF00"/>
              <w:bottom w:val="single" w:sz="4" w:space="0" w:color="00FF00"/>
              <w:right w:val="single" w:sz="4" w:space="0" w:color="00FF00"/>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482.00</w:t>
            </w:r>
          </w:p>
        </w:tc>
        <w:tc>
          <w:tcPr>
            <w:tcW w:w="1388" w:type="dxa"/>
            <w:tcBorders>
              <w:top w:val="single" w:sz="4" w:space="0" w:color="00FF00"/>
              <w:left w:val="nil"/>
              <w:bottom w:val="single" w:sz="4" w:space="0" w:color="00FF00"/>
              <w:right w:val="single" w:sz="4" w:space="0" w:color="00FF00"/>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1985.24</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291.09</w:t>
            </w:r>
          </w:p>
        </w:tc>
        <w:tc>
          <w:tcPr>
            <w:tcW w:w="14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12.79%</w:t>
            </w:r>
          </w:p>
        </w:tc>
      </w:tr>
      <w:tr w:rsidR="00BD7749" w:rsidRPr="00312669" w:rsidTr="00C42516">
        <w:trPr>
          <w:trHeight w:val="146"/>
          <w:jc w:val="center"/>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Aug-19</w:t>
            </w:r>
          </w:p>
        </w:tc>
        <w:tc>
          <w:tcPr>
            <w:tcW w:w="13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1990.68</w:t>
            </w:r>
          </w:p>
        </w:tc>
        <w:tc>
          <w:tcPr>
            <w:tcW w:w="1236"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1485.05</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285.69</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1770.75</w:t>
            </w:r>
          </w:p>
        </w:tc>
        <w:tc>
          <w:tcPr>
            <w:tcW w:w="1082"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219.93</w:t>
            </w:r>
          </w:p>
        </w:tc>
        <w:tc>
          <w:tcPr>
            <w:tcW w:w="14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11.05%</w:t>
            </w:r>
          </w:p>
        </w:tc>
      </w:tr>
      <w:tr w:rsidR="00BD7749" w:rsidRPr="00312669" w:rsidTr="00C42516">
        <w:trPr>
          <w:trHeight w:val="146"/>
          <w:jc w:val="center"/>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Sep-19</w:t>
            </w:r>
          </w:p>
        </w:tc>
        <w:tc>
          <w:tcPr>
            <w:tcW w:w="13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2089.28</w:t>
            </w:r>
          </w:p>
        </w:tc>
        <w:tc>
          <w:tcPr>
            <w:tcW w:w="1236"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1528.57</w:t>
            </w:r>
          </w:p>
        </w:tc>
        <w:tc>
          <w:tcPr>
            <w:tcW w:w="1368" w:type="dxa"/>
            <w:tcBorders>
              <w:top w:val="nil"/>
              <w:left w:val="nil"/>
              <w:bottom w:val="single" w:sz="4" w:space="0" w:color="auto"/>
              <w:right w:val="single" w:sz="4" w:space="0" w:color="auto"/>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358.62</w:t>
            </w:r>
          </w:p>
        </w:tc>
        <w:tc>
          <w:tcPr>
            <w:tcW w:w="1388" w:type="dxa"/>
            <w:tcBorders>
              <w:top w:val="nil"/>
              <w:left w:val="nil"/>
              <w:bottom w:val="single" w:sz="4" w:space="0" w:color="auto"/>
              <w:right w:val="single" w:sz="4" w:space="0" w:color="auto"/>
            </w:tcBorders>
            <w:shd w:val="clear" w:color="auto" w:fill="auto"/>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1887.19</w:t>
            </w:r>
          </w:p>
        </w:tc>
        <w:tc>
          <w:tcPr>
            <w:tcW w:w="1082"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202.09</w:t>
            </w:r>
          </w:p>
        </w:tc>
        <w:tc>
          <w:tcPr>
            <w:tcW w:w="14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sz w:val="20"/>
                <w:szCs w:val="20"/>
                <w:lang w:eastAsia="en-IN"/>
              </w:rPr>
            </w:pPr>
            <w:r w:rsidRPr="00312669">
              <w:rPr>
                <w:rFonts w:ascii="Bookman Old Style" w:eastAsia="Times New Roman" w:hAnsi="Bookman Old Style" w:cs="Calibri"/>
                <w:sz w:val="20"/>
                <w:szCs w:val="20"/>
                <w:lang w:eastAsia="en-IN"/>
              </w:rPr>
              <w:t>9.67%</w:t>
            </w:r>
          </w:p>
        </w:tc>
      </w:tr>
      <w:tr w:rsidR="00BD7749" w:rsidRPr="00312669" w:rsidTr="00C42516">
        <w:trPr>
          <w:trHeight w:val="146"/>
          <w:jc w:val="center"/>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2nd Quarter</w:t>
            </w:r>
          </w:p>
        </w:tc>
        <w:tc>
          <w:tcPr>
            <w:tcW w:w="13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6356.29</w:t>
            </w:r>
          </w:p>
        </w:tc>
        <w:tc>
          <w:tcPr>
            <w:tcW w:w="1236"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4516.87</w:t>
            </w:r>
          </w:p>
        </w:tc>
        <w:tc>
          <w:tcPr>
            <w:tcW w:w="136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1126.31</w:t>
            </w:r>
          </w:p>
        </w:tc>
        <w:tc>
          <w:tcPr>
            <w:tcW w:w="13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5643.17</w:t>
            </w:r>
          </w:p>
        </w:tc>
        <w:tc>
          <w:tcPr>
            <w:tcW w:w="1082"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713.11</w:t>
            </w:r>
          </w:p>
        </w:tc>
        <w:tc>
          <w:tcPr>
            <w:tcW w:w="14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11.22%</w:t>
            </w:r>
          </w:p>
        </w:tc>
      </w:tr>
      <w:tr w:rsidR="00BD7749" w:rsidRPr="00312669" w:rsidTr="00C42516">
        <w:trPr>
          <w:trHeight w:val="154"/>
          <w:jc w:val="center"/>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0138BA" w:rsidRPr="00312669" w:rsidRDefault="000138BA" w:rsidP="00702CCA">
            <w:pPr>
              <w:spacing w:after="0" w:line="276" w:lineRule="auto"/>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 xml:space="preserve">Cum FY-20 </w:t>
            </w:r>
          </w:p>
        </w:tc>
        <w:tc>
          <w:tcPr>
            <w:tcW w:w="13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16268.65</w:t>
            </w:r>
          </w:p>
        </w:tc>
        <w:tc>
          <w:tcPr>
            <w:tcW w:w="1236"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10552.48</w:t>
            </w:r>
          </w:p>
        </w:tc>
        <w:tc>
          <w:tcPr>
            <w:tcW w:w="136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3531.12</w:t>
            </w:r>
          </w:p>
        </w:tc>
        <w:tc>
          <w:tcPr>
            <w:tcW w:w="13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14083.59</w:t>
            </w:r>
          </w:p>
        </w:tc>
        <w:tc>
          <w:tcPr>
            <w:tcW w:w="1082"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2185.06</w:t>
            </w:r>
          </w:p>
        </w:tc>
        <w:tc>
          <w:tcPr>
            <w:tcW w:w="1488" w:type="dxa"/>
            <w:tcBorders>
              <w:top w:val="nil"/>
              <w:left w:val="nil"/>
              <w:bottom w:val="single" w:sz="4" w:space="0" w:color="auto"/>
              <w:right w:val="single" w:sz="4" w:space="0" w:color="auto"/>
            </w:tcBorders>
            <w:shd w:val="clear" w:color="auto" w:fill="auto"/>
            <w:noWrap/>
            <w:vAlign w:val="center"/>
            <w:hideMark/>
          </w:tcPr>
          <w:p w:rsidR="000138BA" w:rsidRPr="00312669" w:rsidRDefault="000138BA" w:rsidP="00702CCA">
            <w:pPr>
              <w:spacing w:after="0" w:line="276" w:lineRule="auto"/>
              <w:jc w:val="center"/>
              <w:rPr>
                <w:rFonts w:ascii="Bookman Old Style" w:eastAsia="Times New Roman" w:hAnsi="Bookman Old Style" w:cs="Calibri"/>
                <w:b/>
                <w:bCs/>
                <w:sz w:val="20"/>
                <w:szCs w:val="20"/>
                <w:lang w:eastAsia="en-IN"/>
              </w:rPr>
            </w:pPr>
            <w:r w:rsidRPr="00312669">
              <w:rPr>
                <w:rFonts w:ascii="Bookman Old Style" w:eastAsia="Times New Roman" w:hAnsi="Bookman Old Style" w:cs="Calibri"/>
                <w:b/>
                <w:bCs/>
                <w:sz w:val="20"/>
                <w:szCs w:val="20"/>
                <w:lang w:eastAsia="en-IN"/>
              </w:rPr>
              <w:t>13.43%</w:t>
            </w:r>
          </w:p>
        </w:tc>
      </w:tr>
    </w:tbl>
    <w:p w:rsidR="000138BA" w:rsidRPr="00D1590B" w:rsidRDefault="000138BA" w:rsidP="00717D3E">
      <w:pPr>
        <w:spacing w:line="360" w:lineRule="auto"/>
        <w:ind w:left="-567" w:right="67"/>
        <w:jc w:val="both"/>
        <w:rPr>
          <w:rFonts w:ascii="Bookman Old Style" w:hAnsi="Bookman Old Style"/>
          <w:color w:val="FF0000"/>
        </w:rPr>
      </w:pPr>
    </w:p>
    <w:p w:rsidR="00381ACE" w:rsidRPr="00457F31" w:rsidRDefault="00381ACE" w:rsidP="00717D3E">
      <w:pPr>
        <w:spacing w:line="360" w:lineRule="auto"/>
        <w:ind w:right="67"/>
        <w:jc w:val="both"/>
        <w:rPr>
          <w:rFonts w:ascii="Bookman Old Style" w:eastAsiaTheme="minorEastAsia" w:hAnsi="Bookman Old Style" w:cs="Arial"/>
        </w:rPr>
      </w:pPr>
      <w:r w:rsidRPr="00457F31">
        <w:rPr>
          <w:rFonts w:ascii="Bookman Old Style" w:eastAsiaTheme="minorEastAsia" w:hAnsi="Bookman Old Style" w:cs="Arial"/>
        </w:rPr>
        <w:lastRenderedPageBreak/>
        <w:t xml:space="preserve">BESCOM </w:t>
      </w:r>
      <w:r w:rsidR="002D0D27" w:rsidRPr="00457F31">
        <w:rPr>
          <w:rFonts w:ascii="Bookman Old Style" w:eastAsiaTheme="minorEastAsia" w:hAnsi="Bookman Old Style" w:cs="Arial"/>
        </w:rPr>
        <w:t>endeavours</w:t>
      </w:r>
      <w:r w:rsidRPr="00457F31">
        <w:rPr>
          <w:rFonts w:ascii="Bookman Old Style" w:eastAsiaTheme="minorEastAsia" w:hAnsi="Bookman Old Style" w:cs="Arial"/>
        </w:rPr>
        <w:t xml:space="preserve"> for taking Distribution Losses to the lowest possible level. BESCOM has achieved a significant reduction in distribution losses during recent years. These efforts shall be continued and will be enhanced in coming years. However, loss reduction is a slow process and to maintain the rate with which it has been decreasing is a difficult task. The reduction in HT Sales and increase in LT sales has also impacted the distribution losses. BESCOM, hence requests the Hon’ble Commission to approve the actual Distribution Loss</w:t>
      </w:r>
      <w:r w:rsidR="00457F31">
        <w:rPr>
          <w:rFonts w:ascii="Bookman Old Style" w:eastAsiaTheme="minorEastAsia" w:hAnsi="Bookman Old Style" w:cs="Arial"/>
        </w:rPr>
        <w:t>.</w:t>
      </w:r>
    </w:p>
    <w:p w:rsidR="00381ACE" w:rsidRPr="00B638B1" w:rsidRDefault="00381ACE" w:rsidP="00717D3E">
      <w:pPr>
        <w:spacing w:line="360" w:lineRule="auto"/>
        <w:ind w:right="67"/>
        <w:jc w:val="both"/>
        <w:rPr>
          <w:rFonts w:ascii="Bookman Old Style" w:eastAsiaTheme="minorEastAsia" w:hAnsi="Bookman Old Style" w:cs="Arial"/>
          <w:b/>
          <w:sz w:val="24"/>
        </w:rPr>
      </w:pPr>
      <w:r w:rsidRPr="00B638B1">
        <w:rPr>
          <w:rFonts w:ascii="Bookman Old Style" w:eastAsiaTheme="minorEastAsia" w:hAnsi="Bookman Old Style" w:cs="Arial"/>
          <w:b/>
          <w:sz w:val="24"/>
        </w:rPr>
        <w:t>Revenue Realized:</w:t>
      </w:r>
    </w:p>
    <w:p w:rsidR="00381ACE" w:rsidRDefault="00381ACE" w:rsidP="00717D3E">
      <w:pPr>
        <w:spacing w:line="360" w:lineRule="auto"/>
        <w:ind w:right="67"/>
        <w:jc w:val="both"/>
        <w:rPr>
          <w:rFonts w:ascii="Bookman Old Style" w:eastAsiaTheme="minorEastAsia" w:hAnsi="Bookman Old Style" w:cs="Arial"/>
        </w:rPr>
      </w:pPr>
      <w:r w:rsidRPr="0071396F">
        <w:rPr>
          <w:rFonts w:ascii="Bookman Old Style" w:eastAsiaTheme="minorEastAsia" w:hAnsi="Bookman Old Style" w:cs="Arial"/>
        </w:rPr>
        <w:t>As against KERC approved revenue of Rs.</w:t>
      </w:r>
      <w:r w:rsidR="00D53BE5" w:rsidRPr="0071396F">
        <w:rPr>
          <w:rFonts w:ascii="Bookman Old Style" w:eastAsiaTheme="minorEastAsia" w:hAnsi="Bookman Old Style" w:cs="Arial"/>
        </w:rPr>
        <w:t>21274.42</w:t>
      </w:r>
      <w:r w:rsidR="008F563F" w:rsidRPr="0071396F">
        <w:rPr>
          <w:rFonts w:ascii="Bookman Old Style" w:eastAsiaTheme="minorEastAsia" w:hAnsi="Bookman Old Style" w:cs="Arial"/>
        </w:rPr>
        <w:t xml:space="preserve"> </w:t>
      </w:r>
      <w:r w:rsidRPr="0071396F">
        <w:rPr>
          <w:rFonts w:ascii="Bookman Old Style" w:eastAsiaTheme="minorEastAsia" w:hAnsi="Bookman Old Style" w:cs="Arial"/>
        </w:rPr>
        <w:t>Crs., BESCOM has been able to realize an amount of Rs.</w:t>
      </w:r>
      <w:r w:rsidR="002B6FF4" w:rsidRPr="0071396F">
        <w:rPr>
          <w:rFonts w:ascii="Bookman Old Style" w:eastAsiaTheme="minorEastAsia" w:hAnsi="Bookman Old Style" w:cs="Arial"/>
        </w:rPr>
        <w:t>21170.69</w:t>
      </w:r>
      <w:r w:rsidRPr="0071396F">
        <w:rPr>
          <w:rFonts w:ascii="Bookman Old Style" w:eastAsiaTheme="minorEastAsia" w:hAnsi="Bookman Old Style" w:cs="Arial"/>
        </w:rPr>
        <w:t xml:space="preserve"> Crs.</w:t>
      </w:r>
    </w:p>
    <w:p w:rsidR="00092826" w:rsidRPr="00294DAD" w:rsidRDefault="00092826" w:rsidP="00092826">
      <w:pPr>
        <w:spacing w:line="360" w:lineRule="auto"/>
        <w:ind w:right="67"/>
        <w:jc w:val="center"/>
        <w:rPr>
          <w:rFonts w:ascii="Bookman Old Style" w:hAnsi="Bookman Old Style" w:cs="Calibri"/>
          <w:b/>
          <w:bCs/>
          <w:sz w:val="18"/>
          <w:lang w:eastAsia="en-IN"/>
        </w:rPr>
      </w:pPr>
      <w:r w:rsidRPr="00294DAD">
        <w:rPr>
          <w:rFonts w:ascii="Bookman Old Style" w:hAnsi="Bookman Old Style" w:cs="Calibri"/>
          <w:b/>
          <w:bCs/>
          <w:sz w:val="18"/>
          <w:lang w:eastAsia="en-IN"/>
        </w:rPr>
        <w:t>Table 3.1</w:t>
      </w:r>
      <w:r w:rsidR="00BD7749">
        <w:rPr>
          <w:rFonts w:ascii="Bookman Old Style" w:hAnsi="Bookman Old Style" w:cs="Calibri"/>
          <w:b/>
          <w:bCs/>
          <w:sz w:val="18"/>
          <w:lang w:eastAsia="en-IN"/>
        </w:rPr>
        <w:t>3</w:t>
      </w:r>
    </w:p>
    <w:tbl>
      <w:tblPr>
        <w:tblW w:w="10398" w:type="dxa"/>
        <w:tblInd w:w="-176" w:type="dxa"/>
        <w:tblLayout w:type="fixed"/>
        <w:tblLook w:val="04A0" w:firstRow="1" w:lastRow="0" w:firstColumn="1" w:lastColumn="0" w:noHBand="0" w:noVBand="1"/>
      </w:tblPr>
      <w:tblGrid>
        <w:gridCol w:w="1445"/>
        <w:gridCol w:w="866"/>
        <w:gridCol w:w="1300"/>
        <w:gridCol w:w="1155"/>
        <w:gridCol w:w="1011"/>
        <w:gridCol w:w="1155"/>
        <w:gridCol w:w="1155"/>
        <w:gridCol w:w="1011"/>
        <w:gridCol w:w="1300"/>
      </w:tblGrid>
      <w:tr w:rsidR="006E4138" w:rsidRPr="006E4138" w:rsidTr="00702CCA">
        <w:trPr>
          <w:trHeight w:val="929"/>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Description</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Tari</w:t>
            </w:r>
            <w:r w:rsidR="00610A2D">
              <w:rPr>
                <w:rFonts w:ascii="Bookman Old Style" w:eastAsia="Times New Roman" w:hAnsi="Bookman Old Style" w:cs="Calibri"/>
                <w:b/>
                <w:bCs/>
                <w:color w:val="000000"/>
                <w:sz w:val="18"/>
                <w:szCs w:val="18"/>
                <w:lang w:eastAsia="en-IN"/>
              </w:rPr>
              <w:t>ff</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No o</w:t>
            </w:r>
            <w:r w:rsidR="00610A2D">
              <w:rPr>
                <w:rFonts w:ascii="Bookman Old Style" w:eastAsia="Times New Roman" w:hAnsi="Bookman Old Style" w:cs="Calibri"/>
                <w:b/>
                <w:bCs/>
                <w:color w:val="000000"/>
                <w:sz w:val="18"/>
                <w:szCs w:val="18"/>
                <w:lang w:eastAsia="en-IN"/>
              </w:rPr>
              <w:t>f</w:t>
            </w:r>
            <w:r w:rsidRPr="006E4138">
              <w:rPr>
                <w:rFonts w:ascii="Bookman Old Style" w:eastAsia="Times New Roman" w:hAnsi="Bookman Old Style" w:cs="Calibri"/>
                <w:b/>
                <w:bCs/>
                <w:color w:val="000000"/>
                <w:sz w:val="18"/>
                <w:szCs w:val="18"/>
                <w:lang w:eastAsia="en-IN"/>
              </w:rPr>
              <w:t xml:space="preserve"> Consumers</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Units Sold (Units in MU)</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Opening Balance</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 xml:space="preserve"> Opening Bal - Unbilled provision A/c 23.4</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Demand Revenue</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Net o</w:t>
            </w:r>
            <w:r w:rsidR="00610A2D">
              <w:rPr>
                <w:rFonts w:ascii="Bookman Old Style" w:eastAsia="Times New Roman" w:hAnsi="Bookman Old Style" w:cs="Calibri"/>
                <w:b/>
                <w:bCs/>
                <w:color w:val="000000"/>
                <w:sz w:val="18"/>
                <w:szCs w:val="18"/>
                <w:lang w:eastAsia="en-IN"/>
              </w:rPr>
              <w:t>f</w:t>
            </w:r>
            <w:r w:rsidRPr="006E4138">
              <w:rPr>
                <w:rFonts w:ascii="Bookman Old Style" w:eastAsia="Times New Roman" w:hAnsi="Bookman Old Style" w:cs="Calibri"/>
                <w:b/>
                <w:bCs/>
                <w:color w:val="000000"/>
                <w:sz w:val="18"/>
                <w:szCs w:val="18"/>
                <w:lang w:eastAsia="en-IN"/>
              </w:rPr>
              <w:t xml:space="preserve"> Unbilled provision &amp; reversal</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Net Revenue Demand as per Accounts</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BJ/KJ ( Upto 40 Units )</w:t>
            </w:r>
          </w:p>
        </w:tc>
        <w:tc>
          <w:tcPr>
            <w:tcW w:w="8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LT 1</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798170</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177.65</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76.11</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8.54</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130.90</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-1.70</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129.19</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BJ/KJ (Above 40 Units )</w:t>
            </w:r>
          </w:p>
        </w:tc>
        <w:tc>
          <w:tcPr>
            <w:tcW w:w="866" w:type="dxa"/>
            <w:vMerge/>
            <w:tcBorders>
              <w:top w:val="nil"/>
              <w:left w:val="single" w:sz="4" w:space="0" w:color="auto"/>
              <w:bottom w:val="single" w:sz="4" w:space="0" w:color="auto"/>
              <w:right w:val="single" w:sz="4" w:space="0" w:color="auto"/>
            </w:tcBorders>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46057</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46.78</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39.93</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1.94</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24.18</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1.33</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25.51</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Lighting and AEH</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LT 2</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8285969</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7342.39</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136.82</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335.25</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4993.25</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7.87</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5001.12</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Commercial Lighting</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LT 3</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1143767</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2240.82</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18.47</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151.69</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2238.84</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-45.42</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2193.42</w:t>
            </w:r>
          </w:p>
        </w:tc>
      </w:tr>
      <w:tr w:rsidR="006E4138" w:rsidRPr="006E4138" w:rsidTr="00C42516">
        <w:trPr>
          <w:trHeight w:val="1158"/>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IP Sets (10HP &amp; BELOW) FREEZED BALANCE Upto 31-07-2008</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1367.57</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0.00</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0.00</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IP Sets (10HP &amp; Above)</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LT 4B</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255</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1.35</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3.50</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0.06</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0.75</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-0.01</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0.74</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Pvt. HortI, Nuris, Coffee</w:t>
            </w:r>
          </w:p>
        </w:tc>
        <w:tc>
          <w:tcPr>
            <w:tcW w:w="8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LT 4C</w:t>
            </w:r>
          </w:p>
        </w:tc>
        <w:tc>
          <w:tcPr>
            <w:tcW w:w="13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1756</w:t>
            </w:r>
          </w:p>
        </w:tc>
        <w:tc>
          <w:tcPr>
            <w:tcW w:w="11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5.67</w:t>
            </w:r>
          </w:p>
        </w:tc>
        <w:tc>
          <w:tcPr>
            <w:tcW w:w="101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3.00</w:t>
            </w:r>
          </w:p>
        </w:tc>
        <w:tc>
          <w:tcPr>
            <w:tcW w:w="11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0.23</w:t>
            </w:r>
          </w:p>
        </w:tc>
        <w:tc>
          <w:tcPr>
            <w:tcW w:w="11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2.82</w:t>
            </w:r>
          </w:p>
        </w:tc>
        <w:tc>
          <w:tcPr>
            <w:tcW w:w="101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-0.03</w:t>
            </w:r>
          </w:p>
        </w:tc>
        <w:tc>
          <w:tcPr>
            <w:tcW w:w="13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2.79</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&amp; Tea Plant</w:t>
            </w:r>
          </w:p>
        </w:tc>
        <w:tc>
          <w:tcPr>
            <w:tcW w:w="866" w:type="dxa"/>
            <w:vMerge/>
            <w:tcBorders>
              <w:top w:val="nil"/>
              <w:left w:val="single" w:sz="4" w:space="0" w:color="auto"/>
              <w:bottom w:val="single" w:sz="4" w:space="0" w:color="auto"/>
              <w:right w:val="single" w:sz="4" w:space="0" w:color="auto"/>
            </w:tcBorders>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p>
        </w:tc>
        <w:tc>
          <w:tcPr>
            <w:tcW w:w="1300" w:type="dxa"/>
            <w:vMerge/>
            <w:tcBorders>
              <w:top w:val="nil"/>
              <w:left w:val="single" w:sz="4" w:space="0" w:color="auto"/>
              <w:bottom w:val="single" w:sz="4" w:space="0" w:color="auto"/>
              <w:right w:val="single" w:sz="4" w:space="0" w:color="auto"/>
            </w:tcBorders>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p>
        </w:tc>
        <w:tc>
          <w:tcPr>
            <w:tcW w:w="1155" w:type="dxa"/>
            <w:vMerge/>
            <w:tcBorders>
              <w:top w:val="nil"/>
              <w:left w:val="single" w:sz="4" w:space="0" w:color="auto"/>
              <w:bottom w:val="single" w:sz="4" w:space="0" w:color="auto"/>
              <w:right w:val="single" w:sz="4" w:space="0" w:color="auto"/>
            </w:tcBorders>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p>
        </w:tc>
        <w:tc>
          <w:tcPr>
            <w:tcW w:w="1011" w:type="dxa"/>
            <w:vMerge/>
            <w:tcBorders>
              <w:top w:val="nil"/>
              <w:left w:val="single" w:sz="4" w:space="0" w:color="auto"/>
              <w:bottom w:val="single" w:sz="4" w:space="0" w:color="auto"/>
              <w:right w:val="single" w:sz="4" w:space="0" w:color="auto"/>
            </w:tcBorders>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p>
        </w:tc>
        <w:tc>
          <w:tcPr>
            <w:tcW w:w="1155" w:type="dxa"/>
            <w:vMerge/>
            <w:tcBorders>
              <w:top w:val="nil"/>
              <w:left w:val="single" w:sz="4" w:space="0" w:color="auto"/>
              <w:bottom w:val="single" w:sz="4" w:space="0" w:color="auto"/>
              <w:right w:val="single" w:sz="4" w:space="0" w:color="auto"/>
            </w:tcBorders>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p>
        </w:tc>
        <w:tc>
          <w:tcPr>
            <w:tcW w:w="1155" w:type="dxa"/>
            <w:vMerge/>
            <w:tcBorders>
              <w:top w:val="nil"/>
              <w:left w:val="single" w:sz="4" w:space="0" w:color="auto"/>
              <w:bottom w:val="single" w:sz="4" w:space="0" w:color="auto"/>
              <w:right w:val="single" w:sz="4" w:space="0" w:color="auto"/>
            </w:tcBorders>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p>
        </w:tc>
        <w:tc>
          <w:tcPr>
            <w:tcW w:w="1011" w:type="dxa"/>
            <w:vMerge/>
            <w:tcBorders>
              <w:top w:val="nil"/>
              <w:left w:val="single" w:sz="4" w:space="0" w:color="auto"/>
              <w:bottom w:val="single" w:sz="4" w:space="0" w:color="auto"/>
              <w:right w:val="single" w:sz="4" w:space="0" w:color="auto"/>
            </w:tcBorders>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p>
        </w:tc>
        <w:tc>
          <w:tcPr>
            <w:tcW w:w="1300" w:type="dxa"/>
            <w:vMerge/>
            <w:tcBorders>
              <w:top w:val="nil"/>
              <w:left w:val="single" w:sz="4" w:space="0" w:color="auto"/>
              <w:bottom w:val="single" w:sz="4" w:space="0" w:color="auto"/>
              <w:right w:val="single" w:sz="4" w:space="0" w:color="auto"/>
            </w:tcBorders>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LT Industries</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LT 5</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218866</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1217.67</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4.84</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64.44</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989.53</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-23.53</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966.00</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Water Supply</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LT 6 A</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84209</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1317.38</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1633.75</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59.27</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719.52</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-7.13</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712.40</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Street lights</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LT 6 B</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68016</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524.64</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270.29</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27.74</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393.46</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-5.37</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388.09</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Temporary Supply (LT)</w:t>
            </w:r>
          </w:p>
        </w:tc>
        <w:tc>
          <w:tcPr>
            <w:tcW w:w="866" w:type="dxa"/>
            <w:tcBorders>
              <w:top w:val="nil"/>
              <w:left w:val="nil"/>
              <w:bottom w:val="single" w:sz="4" w:space="0" w:color="auto"/>
              <w:right w:val="single" w:sz="4" w:space="0" w:color="auto"/>
            </w:tcBorders>
            <w:shd w:val="clear" w:color="000000" w:fill="FFFFFF"/>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LT 7A</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762299</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204.44</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-24.91</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14.37</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395.42</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7.49</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402.92</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Temporary Supply (LT)</w:t>
            </w:r>
          </w:p>
        </w:tc>
        <w:tc>
          <w:tcPr>
            <w:tcW w:w="866" w:type="dxa"/>
            <w:tcBorders>
              <w:top w:val="nil"/>
              <w:left w:val="nil"/>
              <w:bottom w:val="single" w:sz="4" w:space="0" w:color="auto"/>
              <w:right w:val="single" w:sz="4" w:space="0" w:color="auto"/>
            </w:tcBorders>
            <w:shd w:val="clear" w:color="000000" w:fill="FFFFFF"/>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LT 7B</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4216</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1.01</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0.13</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0.07</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1.40</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0.03</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1.42</w:t>
            </w:r>
          </w:p>
        </w:tc>
      </w:tr>
      <w:tr w:rsidR="006E4138" w:rsidRPr="006E4138" w:rsidTr="00C42516">
        <w:trPr>
          <w:trHeight w:val="1158"/>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Power Purchase (Auxiliary cons.) LT &amp; SRPTV</w:t>
            </w:r>
          </w:p>
        </w:tc>
        <w:tc>
          <w:tcPr>
            <w:tcW w:w="866" w:type="dxa"/>
            <w:tcBorders>
              <w:top w:val="nil"/>
              <w:left w:val="nil"/>
              <w:bottom w:val="single" w:sz="4" w:space="0" w:color="auto"/>
              <w:right w:val="single" w:sz="4" w:space="0" w:color="auto"/>
            </w:tcBorders>
            <w:shd w:val="clear" w:color="000000" w:fill="FFFFFF"/>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r>
      <w:tr w:rsidR="006E4138" w:rsidRPr="006E4138" w:rsidTr="00C42516">
        <w:trPr>
          <w:trHeight w:val="985"/>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b/>
                <w:bCs/>
                <w:color w:val="000000"/>
                <w:sz w:val="16"/>
                <w:szCs w:val="18"/>
                <w:lang w:eastAsia="en-IN"/>
              </w:rPr>
            </w:pPr>
            <w:r w:rsidRPr="00FD2668">
              <w:rPr>
                <w:rFonts w:ascii="Bookman Old Style" w:eastAsia="Times New Roman" w:hAnsi="Bookman Old Style" w:cs="Calibri"/>
                <w:b/>
                <w:bCs/>
                <w:color w:val="000000"/>
                <w:sz w:val="16"/>
                <w:szCs w:val="18"/>
                <w:lang w:eastAsia="en-IN"/>
              </w:rPr>
              <w:lastRenderedPageBreak/>
              <w:t xml:space="preserve">Pending for reconciliation of Sundry debtors </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97.14</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0.00</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0.00</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b/>
                <w:bCs/>
                <w:color w:val="000000"/>
                <w:sz w:val="16"/>
                <w:szCs w:val="18"/>
                <w:lang w:eastAsia="en-IN"/>
              </w:rPr>
            </w:pPr>
            <w:r w:rsidRPr="00FD2668">
              <w:rPr>
                <w:rFonts w:ascii="Bookman Old Style" w:eastAsia="Times New Roman" w:hAnsi="Bookman Old Style" w:cs="Calibri"/>
                <w:b/>
                <w:bCs/>
                <w:color w:val="000000"/>
                <w:sz w:val="16"/>
                <w:szCs w:val="18"/>
                <w:lang w:eastAsia="en-IN"/>
              </w:rPr>
              <w:t>LT TOTAL</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I</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11413580</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13079.80</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3626.63</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663.60</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9890.07</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-66.48</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9823.60</w:t>
            </w:r>
          </w:p>
        </w:tc>
      </w:tr>
      <w:tr w:rsidR="006E4138" w:rsidRPr="006E4138" w:rsidTr="00C42516">
        <w:trPr>
          <w:trHeight w:val="772"/>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Water Supply &amp; Sewerage Pumping</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HT 1</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268</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762.04</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53.89</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35.82</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438.47</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2.29</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440.76</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HT Industries</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HT 2A</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7419</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4139.15</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54.58</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328.40</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3685.34</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-63.78</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3621.56</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HT Commercial</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HT 2B</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7521</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2345.62</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-8.52</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241.96</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2865.16</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-40.17</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2746.59</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HT Hospitals</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HT 2C</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833</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331.51</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1.43</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26.60</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221.58</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-2.68</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297.30</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HT Lift Irg. Societies</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xml:space="preserve">HT 3A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43</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57.09</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23.37</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0.91</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18.18</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0.57</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18.75</w:t>
            </w:r>
          </w:p>
        </w:tc>
      </w:tr>
      <w:tr w:rsidR="006E4138" w:rsidRPr="006E4138" w:rsidTr="00C42516">
        <w:trPr>
          <w:trHeight w:val="772"/>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HT Lift Irg. Schemes &amp; Govt Hort.</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HT 3B</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16</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1.33</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0.04</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0.07</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0.69</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0.69</w:t>
            </w:r>
          </w:p>
        </w:tc>
      </w:tr>
      <w:tr w:rsidR="006E4138" w:rsidRPr="006E4138" w:rsidTr="00C42516">
        <w:trPr>
          <w:trHeight w:val="772"/>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 xml:space="preserve">HT Residential Apartment </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HT 4</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412</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78.30</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0.96</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4.85</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61.11</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0.47</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61.58</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Temporary Supply ( HT)</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xml:space="preserve">HT 5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1413</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89.48</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-15.12</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11.09</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121.53</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-2.60</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118.92</w:t>
            </w:r>
          </w:p>
        </w:tc>
      </w:tr>
      <w:tr w:rsidR="006E4138" w:rsidRPr="006E4138" w:rsidTr="00C42516">
        <w:trPr>
          <w:trHeight w:val="1158"/>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Power Purchase (Auxiliary cons.) HT &amp; SRTPV</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33.90</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1.85</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0.00</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20.40</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20.40</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b/>
                <w:bCs/>
                <w:color w:val="000000"/>
                <w:sz w:val="16"/>
                <w:szCs w:val="18"/>
                <w:lang w:eastAsia="en-IN"/>
              </w:rPr>
            </w:pPr>
            <w:r w:rsidRPr="00FD2668">
              <w:rPr>
                <w:rFonts w:ascii="Bookman Old Style" w:eastAsia="Times New Roman" w:hAnsi="Bookman Old Style" w:cs="Calibri"/>
                <w:b/>
                <w:bCs/>
                <w:color w:val="000000"/>
                <w:sz w:val="16"/>
                <w:szCs w:val="18"/>
                <w:lang w:eastAsia="en-IN"/>
              </w:rPr>
              <w:t>HT TOTAL</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II</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17925</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7838.44</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112.48</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649.71</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7432.46</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-105.91</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7326.55</w:t>
            </w:r>
          </w:p>
        </w:tc>
      </w:tr>
      <w:tr w:rsidR="006E4138" w:rsidRPr="006E4138" w:rsidTr="00C42516">
        <w:trPr>
          <w:trHeight w:val="65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b/>
                <w:bCs/>
                <w:color w:val="000000"/>
                <w:sz w:val="16"/>
                <w:szCs w:val="18"/>
                <w:lang w:eastAsia="en-IN"/>
              </w:rPr>
            </w:pPr>
            <w:r w:rsidRPr="00FD2668">
              <w:rPr>
                <w:rFonts w:ascii="Bookman Old Style" w:eastAsia="Times New Roman" w:hAnsi="Bookman Old Style" w:cs="Calibri"/>
                <w:b/>
                <w:bCs/>
                <w:color w:val="000000"/>
                <w:sz w:val="16"/>
                <w:szCs w:val="18"/>
                <w:lang w:eastAsia="en-IN"/>
              </w:rPr>
              <w:t>TOTAL  1 (LT + HT+</w:t>
            </w:r>
            <w:r w:rsidR="00FD2668" w:rsidRPr="00FD2668">
              <w:rPr>
                <w:rFonts w:ascii="Bookman Old Style" w:eastAsia="Times New Roman" w:hAnsi="Bookman Old Style" w:cs="Calibri"/>
                <w:b/>
                <w:bCs/>
                <w:color w:val="000000"/>
                <w:sz w:val="16"/>
                <w:szCs w:val="18"/>
                <w:lang w:eastAsia="en-IN"/>
              </w:rPr>
              <w:t xml:space="preserve"> </w:t>
            </w:r>
            <w:r w:rsidRPr="00FD2668">
              <w:rPr>
                <w:rFonts w:ascii="Bookman Old Style" w:eastAsia="Times New Roman" w:hAnsi="Bookman Old Style" w:cs="Calibri"/>
                <w:b/>
                <w:bCs/>
                <w:color w:val="000000"/>
                <w:sz w:val="16"/>
                <w:szCs w:val="18"/>
                <w:lang w:eastAsia="en-IN"/>
              </w:rPr>
              <w:t>Temporary)</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III</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11431505</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20918.24</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3739.11</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1313.31</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17322.53</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-172.38</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17150.15</w:t>
            </w:r>
          </w:p>
        </w:tc>
      </w:tr>
      <w:tr w:rsidR="006E4138" w:rsidRPr="006E4138" w:rsidTr="00C42516">
        <w:trPr>
          <w:trHeight w:val="1544"/>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color w:val="000000"/>
                <w:sz w:val="16"/>
                <w:szCs w:val="18"/>
                <w:lang w:eastAsia="en-IN"/>
              </w:rPr>
            </w:pPr>
            <w:r w:rsidRPr="00FD2668">
              <w:rPr>
                <w:rFonts w:ascii="Bookman Old Style" w:eastAsia="Times New Roman" w:hAnsi="Bookman Old Style" w:cs="Calibri"/>
                <w:color w:val="000000"/>
                <w:sz w:val="16"/>
                <w:szCs w:val="18"/>
                <w:lang w:eastAsia="en-IN"/>
              </w:rPr>
              <w:t>IP Sets (10HP &amp; BELOW)</w:t>
            </w:r>
            <w:r w:rsidR="00C94625">
              <w:rPr>
                <w:rFonts w:ascii="Bookman Old Style" w:eastAsia="Times New Roman" w:hAnsi="Bookman Old Style" w:cs="Calibri"/>
                <w:color w:val="000000"/>
                <w:sz w:val="16"/>
                <w:szCs w:val="18"/>
                <w:lang w:eastAsia="en-IN"/>
              </w:rPr>
              <w:t xml:space="preserve"> </w:t>
            </w:r>
            <w:r w:rsidRPr="00FD2668">
              <w:rPr>
                <w:rFonts w:ascii="Bookman Old Style" w:eastAsia="Times New Roman" w:hAnsi="Bookman Old Style" w:cs="Calibri"/>
                <w:color w:val="000000"/>
                <w:sz w:val="16"/>
                <w:szCs w:val="18"/>
                <w:lang w:eastAsia="en-IN"/>
              </w:rPr>
              <w:t>FREE LIGHTING From 01-08-2008 (Subsidy Due for GOK)</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LT 4A</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933908</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6916.36</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1657.68</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243.10</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2687.39</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-13.12</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2674.28</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b/>
                <w:bCs/>
                <w:color w:val="000000"/>
                <w:sz w:val="16"/>
                <w:szCs w:val="18"/>
                <w:lang w:eastAsia="en-IN"/>
              </w:rPr>
            </w:pPr>
            <w:r w:rsidRPr="00FD2668">
              <w:rPr>
                <w:rFonts w:ascii="Bookman Old Style" w:eastAsia="Times New Roman" w:hAnsi="Bookman Old Style" w:cs="Calibri"/>
                <w:b/>
                <w:bCs/>
                <w:color w:val="000000"/>
                <w:sz w:val="16"/>
                <w:szCs w:val="18"/>
                <w:lang w:eastAsia="en-IN"/>
              </w:rPr>
              <w:t>Total -2</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12365413</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27834.60</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5396.79</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1556.41</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20009.93</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-185.50</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19824.43</w:t>
            </w:r>
          </w:p>
        </w:tc>
      </w:tr>
      <w:tr w:rsidR="006E4138" w:rsidRPr="006E4138" w:rsidTr="00C42516">
        <w:trPr>
          <w:trHeight w:val="985"/>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b/>
                <w:bCs/>
                <w:color w:val="000000"/>
                <w:sz w:val="16"/>
                <w:szCs w:val="18"/>
                <w:lang w:eastAsia="en-IN"/>
              </w:rPr>
            </w:pPr>
            <w:r w:rsidRPr="00FD2668">
              <w:rPr>
                <w:rFonts w:ascii="Bookman Old Style" w:eastAsia="Times New Roman" w:hAnsi="Bookman Old Style" w:cs="Calibri"/>
                <w:b/>
                <w:bCs/>
                <w:color w:val="000000"/>
                <w:sz w:val="16"/>
                <w:szCs w:val="18"/>
                <w:lang w:eastAsia="en-IN"/>
              </w:rPr>
              <w:t>Less : Provision for withdrawal of Revenue Demand</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17.21</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17.21</w:t>
            </w:r>
          </w:p>
        </w:tc>
      </w:tr>
      <w:tr w:rsidR="006E4138" w:rsidRPr="006E4138" w:rsidTr="00C42516">
        <w:trPr>
          <w:trHeight w:val="985"/>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b/>
                <w:bCs/>
                <w:color w:val="000000"/>
                <w:sz w:val="16"/>
                <w:szCs w:val="18"/>
                <w:lang w:eastAsia="en-IN"/>
              </w:rPr>
            </w:pPr>
            <w:r w:rsidRPr="00FD2668">
              <w:rPr>
                <w:rFonts w:ascii="Bookman Old Style" w:eastAsia="Times New Roman" w:hAnsi="Bookman Old Style" w:cs="Calibri"/>
                <w:b/>
                <w:bCs/>
                <w:color w:val="000000"/>
                <w:sz w:val="16"/>
                <w:szCs w:val="18"/>
                <w:lang w:eastAsia="en-IN"/>
              </w:rPr>
              <w:t>Less: Withdrawal of revenue demand as credit adjustment.</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20.31</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20.31</w:t>
            </w:r>
          </w:p>
        </w:tc>
      </w:tr>
      <w:tr w:rsidR="006E4138" w:rsidRPr="006E4138" w:rsidTr="00C42516">
        <w:trPr>
          <w:trHeight w:val="985"/>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b/>
                <w:bCs/>
                <w:color w:val="000000"/>
                <w:sz w:val="16"/>
                <w:szCs w:val="18"/>
                <w:lang w:eastAsia="en-IN"/>
              </w:rPr>
            </w:pPr>
            <w:r w:rsidRPr="00FD2668">
              <w:rPr>
                <w:rFonts w:ascii="Bookman Old Style" w:eastAsia="Times New Roman" w:hAnsi="Bookman Old Style" w:cs="Calibri"/>
                <w:b/>
                <w:bCs/>
                <w:color w:val="000000"/>
                <w:sz w:val="16"/>
                <w:szCs w:val="18"/>
                <w:lang w:eastAsia="en-IN"/>
              </w:rPr>
              <w:t>Less :Credit Adjustment through Balance Transfer system</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47.64</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47.64</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b/>
                <w:bCs/>
                <w:color w:val="000000"/>
                <w:sz w:val="16"/>
                <w:szCs w:val="18"/>
                <w:lang w:eastAsia="en-IN"/>
              </w:rPr>
            </w:pPr>
            <w:r w:rsidRPr="00FD2668">
              <w:rPr>
                <w:rFonts w:ascii="Bookman Old Style" w:eastAsia="Times New Roman" w:hAnsi="Bookman Old Style" w:cs="Calibri"/>
                <w:b/>
                <w:bCs/>
                <w:color w:val="000000"/>
                <w:sz w:val="16"/>
                <w:szCs w:val="18"/>
                <w:lang w:eastAsia="en-IN"/>
              </w:rPr>
              <w:t xml:space="preserve">Other Operating </w:t>
            </w:r>
            <w:r w:rsidRPr="00FD2668">
              <w:rPr>
                <w:rFonts w:ascii="Bookman Old Style" w:eastAsia="Times New Roman" w:hAnsi="Bookman Old Style" w:cs="Calibri"/>
                <w:b/>
                <w:bCs/>
                <w:color w:val="000000"/>
                <w:sz w:val="16"/>
                <w:szCs w:val="18"/>
                <w:lang w:eastAsia="en-IN"/>
              </w:rPr>
              <w:lastRenderedPageBreak/>
              <w:t>Income</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lastRenderedPageBreak/>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154.18</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154.18</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b/>
                <w:bCs/>
                <w:color w:val="000000"/>
                <w:sz w:val="16"/>
                <w:szCs w:val="18"/>
                <w:lang w:eastAsia="en-IN"/>
              </w:rPr>
            </w:pPr>
            <w:r w:rsidRPr="00FD2668">
              <w:rPr>
                <w:rFonts w:ascii="Bookman Old Style" w:eastAsia="Times New Roman" w:hAnsi="Bookman Old Style" w:cs="Calibri"/>
                <w:b/>
                <w:bCs/>
                <w:color w:val="000000"/>
                <w:sz w:val="16"/>
                <w:szCs w:val="18"/>
                <w:lang w:eastAsia="en-IN"/>
              </w:rPr>
              <w:lastRenderedPageBreak/>
              <w:t>FAC</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589.14</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589.14</w:t>
            </w:r>
          </w:p>
        </w:tc>
      </w:tr>
      <w:tr w:rsidR="006E4138" w:rsidRPr="006E4138" w:rsidTr="00C42516">
        <w:trPr>
          <w:trHeight w:val="524"/>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ind w:right="-108"/>
              <w:rPr>
                <w:rFonts w:ascii="Bookman Old Style" w:eastAsia="Times New Roman" w:hAnsi="Bookman Old Style" w:cs="Calibri"/>
                <w:b/>
                <w:bCs/>
                <w:color w:val="000000"/>
                <w:sz w:val="16"/>
                <w:szCs w:val="18"/>
                <w:lang w:eastAsia="en-IN"/>
              </w:rPr>
            </w:pPr>
            <w:r w:rsidRPr="00FD2668">
              <w:rPr>
                <w:rFonts w:ascii="Bookman Old Style" w:eastAsia="Times New Roman" w:hAnsi="Bookman Old Style" w:cs="Calibri"/>
                <w:b/>
                <w:bCs/>
                <w:color w:val="000000"/>
                <w:sz w:val="16"/>
                <w:szCs w:val="18"/>
                <w:lang w:eastAsia="en-IN"/>
              </w:rPr>
              <w:t>Cross subsidy surcharge and additional surcharge</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362.50</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sz w:val="18"/>
                <w:szCs w:val="18"/>
                <w:lang w:eastAsia="en-IN"/>
              </w:rPr>
            </w:pPr>
            <w:r w:rsidRPr="006E4138">
              <w:rPr>
                <w:rFonts w:ascii="Bookman Old Style" w:eastAsia="Times New Roman" w:hAnsi="Bookman Old Style" w:cs="Calibri"/>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sz w:val="18"/>
                <w:szCs w:val="18"/>
                <w:lang w:eastAsia="en-IN"/>
              </w:rPr>
            </w:pPr>
            <w:r w:rsidRPr="006E4138">
              <w:rPr>
                <w:rFonts w:ascii="Bookman Old Style" w:eastAsia="Times New Roman" w:hAnsi="Bookman Old Style" w:cs="Calibri"/>
                <w:sz w:val="18"/>
                <w:szCs w:val="18"/>
                <w:lang w:eastAsia="en-IN"/>
              </w:rPr>
              <w:t>362.50</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b/>
                <w:bCs/>
                <w:color w:val="000000"/>
                <w:sz w:val="16"/>
                <w:szCs w:val="18"/>
                <w:lang w:eastAsia="en-IN"/>
              </w:rPr>
            </w:pPr>
            <w:r w:rsidRPr="00FD2668">
              <w:rPr>
                <w:rFonts w:ascii="Bookman Old Style" w:eastAsia="Times New Roman" w:hAnsi="Bookman Old Style" w:cs="Calibri"/>
                <w:b/>
                <w:bCs/>
                <w:color w:val="000000"/>
                <w:sz w:val="16"/>
                <w:szCs w:val="18"/>
                <w:lang w:eastAsia="en-IN"/>
              </w:rPr>
              <w:t>Interest</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325.60</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color w:val="000000"/>
                <w:sz w:val="18"/>
                <w:szCs w:val="18"/>
                <w:lang w:eastAsia="en-IN"/>
              </w:rPr>
            </w:pPr>
            <w:r w:rsidRPr="006E4138">
              <w:rPr>
                <w:rFonts w:ascii="Bookman Old Style" w:eastAsia="Times New Roman" w:hAnsi="Bookman Old Style" w:cs="Calibri"/>
                <w:color w:val="000000"/>
                <w:sz w:val="18"/>
                <w:szCs w:val="18"/>
                <w:lang w:eastAsia="en-IN"/>
              </w:rPr>
              <w:t>325.60</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vAlign w:val="center"/>
            <w:hideMark/>
          </w:tcPr>
          <w:p w:rsidR="006E4138" w:rsidRPr="00FD2668" w:rsidRDefault="006E4138" w:rsidP="00C42516">
            <w:pPr>
              <w:spacing w:after="0" w:line="240" w:lineRule="auto"/>
              <w:rPr>
                <w:rFonts w:ascii="Bookman Old Style" w:eastAsia="Times New Roman" w:hAnsi="Bookman Old Style" w:cs="Calibri"/>
                <w:b/>
                <w:bCs/>
                <w:color w:val="000000"/>
                <w:sz w:val="16"/>
                <w:szCs w:val="18"/>
                <w:lang w:eastAsia="en-IN"/>
              </w:rPr>
            </w:pPr>
            <w:r w:rsidRPr="00FD2668">
              <w:rPr>
                <w:rFonts w:ascii="Bookman Old Style" w:eastAsia="Times New Roman" w:hAnsi="Bookman Old Style" w:cs="Calibri"/>
                <w:b/>
                <w:bCs/>
                <w:color w:val="000000"/>
                <w:sz w:val="16"/>
                <w:szCs w:val="18"/>
                <w:lang w:eastAsia="en-IN"/>
              </w:rPr>
              <w:t>Total - 3</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0</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0.00</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0</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1346.27</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1346.27</w:t>
            </w:r>
          </w:p>
        </w:tc>
      </w:tr>
      <w:tr w:rsidR="006E4138" w:rsidRPr="006E4138" w:rsidTr="00C42516">
        <w:trPr>
          <w:trHeight w:val="386"/>
        </w:trPr>
        <w:tc>
          <w:tcPr>
            <w:tcW w:w="1445" w:type="dxa"/>
            <w:tcBorders>
              <w:top w:val="nil"/>
              <w:left w:val="single" w:sz="4" w:space="0" w:color="auto"/>
              <w:bottom w:val="single" w:sz="4" w:space="0" w:color="auto"/>
              <w:right w:val="single" w:sz="4" w:space="0" w:color="auto"/>
            </w:tcBorders>
            <w:shd w:val="clear" w:color="000000" w:fill="FFFFFF"/>
            <w:noWrap/>
            <w:vAlign w:val="center"/>
            <w:hideMark/>
          </w:tcPr>
          <w:p w:rsidR="006E4138" w:rsidRPr="00FD2668" w:rsidRDefault="006E4138" w:rsidP="00C42516">
            <w:pPr>
              <w:spacing w:after="0" w:line="240" w:lineRule="auto"/>
              <w:rPr>
                <w:rFonts w:ascii="Bookman Old Style" w:eastAsia="Times New Roman" w:hAnsi="Bookman Old Style" w:cs="Calibri"/>
                <w:b/>
                <w:bCs/>
                <w:color w:val="000000"/>
                <w:sz w:val="16"/>
                <w:szCs w:val="18"/>
                <w:lang w:eastAsia="en-IN"/>
              </w:rPr>
            </w:pPr>
            <w:r w:rsidRPr="00FD2668">
              <w:rPr>
                <w:rFonts w:ascii="Bookman Old Style" w:eastAsia="Times New Roman" w:hAnsi="Bookman Old Style" w:cs="Calibri"/>
                <w:b/>
                <w:bCs/>
                <w:color w:val="000000"/>
                <w:sz w:val="16"/>
                <w:szCs w:val="18"/>
                <w:lang w:eastAsia="en-IN"/>
              </w:rPr>
              <w:t>Grand Total</w:t>
            </w:r>
          </w:p>
        </w:tc>
        <w:tc>
          <w:tcPr>
            <w:tcW w:w="866"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center"/>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12365413</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27834.60</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5396.79</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1556.41</w:t>
            </w:r>
          </w:p>
        </w:tc>
        <w:tc>
          <w:tcPr>
            <w:tcW w:w="1155"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21356.19</w:t>
            </w:r>
          </w:p>
        </w:tc>
        <w:tc>
          <w:tcPr>
            <w:tcW w:w="1011"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-185.50</w:t>
            </w:r>
          </w:p>
        </w:tc>
        <w:tc>
          <w:tcPr>
            <w:tcW w:w="1300" w:type="dxa"/>
            <w:tcBorders>
              <w:top w:val="nil"/>
              <w:left w:val="nil"/>
              <w:bottom w:val="single" w:sz="4" w:space="0" w:color="auto"/>
              <w:right w:val="single" w:sz="4" w:space="0" w:color="auto"/>
            </w:tcBorders>
            <w:shd w:val="clear" w:color="000000" w:fill="FFFFFF"/>
            <w:noWrap/>
            <w:vAlign w:val="center"/>
            <w:hideMark/>
          </w:tcPr>
          <w:p w:rsidR="006E4138" w:rsidRPr="006E4138" w:rsidRDefault="006E4138" w:rsidP="00C42516">
            <w:pPr>
              <w:spacing w:after="0" w:line="240" w:lineRule="auto"/>
              <w:jc w:val="right"/>
              <w:rPr>
                <w:rFonts w:ascii="Bookman Old Style" w:eastAsia="Times New Roman" w:hAnsi="Bookman Old Style" w:cs="Calibri"/>
                <w:b/>
                <w:bCs/>
                <w:color w:val="000000"/>
                <w:sz w:val="18"/>
                <w:szCs w:val="18"/>
                <w:lang w:eastAsia="en-IN"/>
              </w:rPr>
            </w:pPr>
            <w:r w:rsidRPr="006E4138">
              <w:rPr>
                <w:rFonts w:ascii="Bookman Old Style" w:eastAsia="Times New Roman" w:hAnsi="Bookman Old Style" w:cs="Calibri"/>
                <w:b/>
                <w:bCs/>
                <w:color w:val="000000"/>
                <w:sz w:val="18"/>
                <w:szCs w:val="18"/>
                <w:lang w:eastAsia="en-IN"/>
              </w:rPr>
              <w:t>21170.69</w:t>
            </w:r>
          </w:p>
        </w:tc>
      </w:tr>
    </w:tbl>
    <w:p w:rsidR="00695539" w:rsidRDefault="00695539" w:rsidP="00717D3E">
      <w:pPr>
        <w:pStyle w:val="NormalWeb"/>
        <w:shd w:val="clear" w:color="auto" w:fill="FFFFFF"/>
        <w:spacing w:before="0" w:beforeAutospacing="0" w:after="150" w:afterAutospacing="0" w:line="360" w:lineRule="auto"/>
        <w:ind w:right="67"/>
        <w:jc w:val="both"/>
        <w:rPr>
          <w:rFonts w:ascii="Bookman Old Style" w:hAnsi="Bookman Old Style"/>
          <w:color w:val="auto"/>
          <w:sz w:val="22"/>
          <w:szCs w:val="22"/>
        </w:rPr>
      </w:pPr>
    </w:p>
    <w:p w:rsidR="00381ACE" w:rsidRPr="00695539" w:rsidRDefault="00381ACE" w:rsidP="00717D3E">
      <w:pPr>
        <w:pStyle w:val="NormalWeb"/>
        <w:shd w:val="clear" w:color="auto" w:fill="FFFFFF"/>
        <w:spacing w:before="0" w:beforeAutospacing="0" w:after="150" w:afterAutospacing="0" w:line="360" w:lineRule="auto"/>
        <w:ind w:right="67"/>
        <w:jc w:val="both"/>
        <w:rPr>
          <w:rFonts w:ascii="Bookman Old Style" w:hAnsi="Bookman Old Style"/>
          <w:color w:val="auto"/>
          <w:sz w:val="22"/>
          <w:szCs w:val="22"/>
        </w:rPr>
      </w:pPr>
      <w:r w:rsidRPr="00695539">
        <w:rPr>
          <w:rFonts w:ascii="Bookman Old Style" w:hAnsi="Bookman Old Style"/>
          <w:color w:val="auto"/>
          <w:sz w:val="22"/>
          <w:szCs w:val="22"/>
        </w:rPr>
        <w:t>The HT industrial, HT commercial and LT industrial sales for FY-20 have reduced by 339.9</w:t>
      </w:r>
      <w:r w:rsidR="00AE251F" w:rsidRPr="00695539">
        <w:rPr>
          <w:rFonts w:ascii="Bookman Old Style" w:hAnsi="Bookman Old Style"/>
          <w:color w:val="auto"/>
          <w:sz w:val="22"/>
          <w:szCs w:val="22"/>
        </w:rPr>
        <w:t xml:space="preserve"> </w:t>
      </w:r>
      <w:r w:rsidRPr="00695539">
        <w:rPr>
          <w:rFonts w:ascii="Bookman Old Style" w:hAnsi="Bookman Old Style"/>
          <w:color w:val="auto"/>
          <w:sz w:val="22"/>
          <w:szCs w:val="22"/>
        </w:rPr>
        <w:t xml:space="preserve">MU, </w:t>
      </w:r>
      <w:r w:rsidR="00695539" w:rsidRPr="00695539">
        <w:rPr>
          <w:rFonts w:ascii="Bookman Old Style" w:hAnsi="Bookman Old Style"/>
          <w:color w:val="auto"/>
          <w:sz w:val="22"/>
          <w:szCs w:val="22"/>
        </w:rPr>
        <w:t>92.72</w:t>
      </w:r>
      <w:r w:rsidR="00AE251F" w:rsidRPr="00695539">
        <w:rPr>
          <w:rFonts w:ascii="Bookman Old Style" w:hAnsi="Bookman Old Style"/>
          <w:color w:val="auto"/>
          <w:sz w:val="22"/>
          <w:szCs w:val="22"/>
        </w:rPr>
        <w:t xml:space="preserve"> </w:t>
      </w:r>
      <w:r w:rsidRPr="00695539">
        <w:rPr>
          <w:rFonts w:ascii="Bookman Old Style" w:hAnsi="Bookman Old Style"/>
          <w:color w:val="auto"/>
          <w:sz w:val="22"/>
          <w:szCs w:val="22"/>
        </w:rPr>
        <w:t>MU and 25.41</w:t>
      </w:r>
      <w:r w:rsidR="00695539" w:rsidRPr="00695539">
        <w:rPr>
          <w:rFonts w:ascii="Bookman Old Style" w:hAnsi="Bookman Old Style"/>
          <w:color w:val="auto"/>
          <w:sz w:val="22"/>
          <w:szCs w:val="22"/>
        </w:rPr>
        <w:t xml:space="preserve"> </w:t>
      </w:r>
      <w:r w:rsidRPr="00695539">
        <w:rPr>
          <w:rFonts w:ascii="Bookman Old Style" w:hAnsi="Bookman Old Style"/>
          <w:color w:val="auto"/>
          <w:sz w:val="22"/>
          <w:szCs w:val="22"/>
        </w:rPr>
        <w:t xml:space="preserve">MU over the previous year FY-19. This in turn has reduced the revenue demand for FY-20.  </w:t>
      </w:r>
    </w:p>
    <w:p w:rsidR="00381ACE" w:rsidRDefault="00381ACE" w:rsidP="00717D3E">
      <w:pPr>
        <w:spacing w:line="360" w:lineRule="auto"/>
        <w:ind w:right="67"/>
        <w:jc w:val="both"/>
        <w:rPr>
          <w:rFonts w:ascii="Bookman Old Style" w:eastAsiaTheme="minorEastAsia" w:hAnsi="Bookman Old Style" w:cs="Arial"/>
        </w:rPr>
      </w:pPr>
      <w:r w:rsidRPr="00E02E83">
        <w:rPr>
          <w:rFonts w:ascii="Bookman Old Style" w:eastAsiaTheme="minorEastAsia" w:hAnsi="Bookman Old Style" w:cs="Arial"/>
          <w:b/>
        </w:rPr>
        <w:t>Revenue from Operations</w:t>
      </w:r>
      <w:r>
        <w:rPr>
          <w:rFonts w:ascii="Bookman Old Style" w:eastAsiaTheme="minorEastAsia" w:hAnsi="Bookman Old Style" w:cs="Arial"/>
        </w:rPr>
        <w:t>:</w:t>
      </w:r>
      <w:r w:rsidRPr="00E02E83">
        <w:rPr>
          <w:rFonts w:ascii="Bookman Old Style" w:eastAsiaTheme="minorEastAsia" w:hAnsi="Bookman Old Style" w:cs="Arial"/>
        </w:rPr>
        <w:tab/>
      </w:r>
    </w:p>
    <w:p w:rsidR="00381ACE" w:rsidRPr="00092826" w:rsidRDefault="00092826" w:rsidP="00092826">
      <w:pPr>
        <w:spacing w:line="360" w:lineRule="auto"/>
        <w:ind w:right="67"/>
        <w:jc w:val="center"/>
        <w:rPr>
          <w:rFonts w:ascii="Bookman Old Style" w:hAnsi="Bookman Old Style" w:cs="Calibri"/>
          <w:b/>
          <w:bCs/>
          <w:sz w:val="20"/>
          <w:lang w:eastAsia="en-IN"/>
        </w:rPr>
      </w:pPr>
      <w:r>
        <w:rPr>
          <w:rFonts w:ascii="Bookman Old Style" w:hAnsi="Bookman Old Style" w:cs="Calibri"/>
          <w:b/>
          <w:bCs/>
          <w:sz w:val="20"/>
          <w:lang w:eastAsia="en-IN"/>
        </w:rPr>
        <w:t xml:space="preserve">                                                 </w:t>
      </w:r>
      <w:r w:rsidRPr="00294DAD">
        <w:rPr>
          <w:rFonts w:ascii="Bookman Old Style" w:hAnsi="Bookman Old Style" w:cs="Calibri"/>
          <w:b/>
          <w:bCs/>
          <w:sz w:val="18"/>
          <w:lang w:eastAsia="en-IN"/>
        </w:rPr>
        <w:t>Table 3.1</w:t>
      </w:r>
      <w:r w:rsidR="00BD7749">
        <w:rPr>
          <w:rFonts w:ascii="Bookman Old Style" w:hAnsi="Bookman Old Style" w:cs="Calibri"/>
          <w:b/>
          <w:bCs/>
          <w:sz w:val="18"/>
          <w:lang w:eastAsia="en-IN"/>
        </w:rPr>
        <w:t>4</w:t>
      </w:r>
      <w:r w:rsidR="00381ACE" w:rsidRPr="00294DAD">
        <w:rPr>
          <w:rFonts w:ascii="Bookman Old Style" w:eastAsiaTheme="minorEastAsia" w:hAnsi="Bookman Old Style" w:cs="Arial"/>
          <w:b/>
          <w:sz w:val="18"/>
          <w:szCs w:val="26"/>
        </w:rPr>
        <w:t xml:space="preserve">      </w:t>
      </w:r>
      <w:r w:rsidRPr="00294DAD">
        <w:rPr>
          <w:rFonts w:ascii="Bookman Old Style" w:eastAsiaTheme="minorEastAsia" w:hAnsi="Bookman Old Style" w:cs="Arial"/>
          <w:b/>
          <w:sz w:val="18"/>
          <w:szCs w:val="26"/>
        </w:rPr>
        <w:t xml:space="preserve">                          </w:t>
      </w:r>
      <w:r w:rsidR="00381ACE" w:rsidRPr="00294DAD">
        <w:rPr>
          <w:rFonts w:ascii="Bookman Old Style" w:eastAsiaTheme="minorEastAsia" w:hAnsi="Bookman Old Style" w:cs="Arial"/>
          <w:b/>
          <w:sz w:val="18"/>
          <w:szCs w:val="26"/>
        </w:rPr>
        <w:t xml:space="preserve">   Amount in Crs.</w:t>
      </w:r>
    </w:p>
    <w:tbl>
      <w:tblPr>
        <w:tblW w:w="8528" w:type="dxa"/>
        <w:jc w:val="center"/>
        <w:tblInd w:w="675" w:type="dxa"/>
        <w:tblLook w:val="04A0" w:firstRow="1" w:lastRow="0" w:firstColumn="1" w:lastColumn="0" w:noHBand="0" w:noVBand="1"/>
      </w:tblPr>
      <w:tblGrid>
        <w:gridCol w:w="5853"/>
        <w:gridCol w:w="2675"/>
      </w:tblGrid>
      <w:tr w:rsidR="0027602B" w:rsidRPr="0027602B" w:rsidTr="00702CCA">
        <w:trPr>
          <w:trHeight w:val="506"/>
          <w:jc w:val="center"/>
        </w:trPr>
        <w:tc>
          <w:tcPr>
            <w:tcW w:w="58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4C8E" w:rsidRPr="0027602B" w:rsidRDefault="00384C8E" w:rsidP="00702CCA">
            <w:pPr>
              <w:spacing w:after="0" w:line="240" w:lineRule="auto"/>
              <w:jc w:val="center"/>
              <w:rPr>
                <w:rFonts w:ascii="Bookman Old Style" w:eastAsia="Times New Roman" w:hAnsi="Bookman Old Style" w:cs="Calibri"/>
                <w:b/>
                <w:bCs/>
                <w:sz w:val="20"/>
                <w:szCs w:val="20"/>
                <w:lang w:eastAsia="en-IN"/>
              </w:rPr>
            </w:pPr>
            <w:r w:rsidRPr="0027602B">
              <w:rPr>
                <w:rFonts w:ascii="Bookman Old Style" w:eastAsia="Times New Roman" w:hAnsi="Bookman Old Style" w:cs="Calibri"/>
                <w:b/>
                <w:bCs/>
                <w:sz w:val="20"/>
                <w:szCs w:val="20"/>
                <w:lang w:eastAsia="en-IN"/>
              </w:rPr>
              <w:t>Particulars</w:t>
            </w:r>
          </w:p>
        </w:tc>
        <w:tc>
          <w:tcPr>
            <w:tcW w:w="2675" w:type="dxa"/>
            <w:tcBorders>
              <w:top w:val="single" w:sz="8" w:space="0" w:color="auto"/>
              <w:left w:val="nil"/>
              <w:bottom w:val="nil"/>
              <w:right w:val="single" w:sz="8" w:space="0" w:color="auto"/>
            </w:tcBorders>
            <w:shd w:val="clear" w:color="auto" w:fill="auto"/>
            <w:vAlign w:val="center"/>
            <w:hideMark/>
          </w:tcPr>
          <w:p w:rsidR="00384C8E" w:rsidRPr="0027602B" w:rsidRDefault="00384C8E" w:rsidP="00702CCA">
            <w:pPr>
              <w:spacing w:after="0" w:line="240" w:lineRule="auto"/>
              <w:jc w:val="center"/>
              <w:rPr>
                <w:rFonts w:ascii="Bookman Old Style" w:eastAsia="Times New Roman" w:hAnsi="Bookman Old Style" w:cs="Calibri"/>
                <w:b/>
                <w:bCs/>
                <w:sz w:val="20"/>
                <w:szCs w:val="20"/>
                <w:lang w:eastAsia="en-IN"/>
              </w:rPr>
            </w:pPr>
            <w:r w:rsidRPr="0027602B">
              <w:rPr>
                <w:rFonts w:ascii="Bookman Old Style" w:eastAsia="Times New Roman" w:hAnsi="Bookman Old Style" w:cs="Calibri"/>
                <w:b/>
                <w:bCs/>
                <w:sz w:val="20"/>
                <w:szCs w:val="20"/>
                <w:lang w:eastAsia="en-IN"/>
              </w:rPr>
              <w:t xml:space="preserve"> For the year ended on 31st March 2020 (Ind AS)</w:t>
            </w:r>
          </w:p>
        </w:tc>
      </w:tr>
      <w:tr w:rsidR="0027602B" w:rsidRPr="0027602B" w:rsidTr="00702CCA">
        <w:trPr>
          <w:trHeight w:val="54"/>
          <w:jc w:val="center"/>
        </w:trPr>
        <w:tc>
          <w:tcPr>
            <w:tcW w:w="585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b/>
                <w:bCs/>
                <w:sz w:val="20"/>
                <w:szCs w:val="20"/>
                <w:lang w:eastAsia="en-IN"/>
              </w:rPr>
            </w:pP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b/>
                <w:bCs/>
                <w:sz w:val="20"/>
                <w:szCs w:val="20"/>
                <w:lang w:eastAsia="en-IN"/>
              </w:rPr>
            </w:pPr>
          </w:p>
        </w:tc>
      </w:tr>
      <w:tr w:rsidR="0027602B" w:rsidRPr="0027602B" w:rsidTr="00702CCA">
        <w:trPr>
          <w:trHeight w:val="332"/>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Sale of Power  LT category (including unbilled revenue)</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12506.84</w:t>
            </w:r>
          </w:p>
        </w:tc>
      </w:tr>
      <w:tr w:rsidR="0027602B" w:rsidRPr="0027602B" w:rsidTr="00702CCA">
        <w:trPr>
          <w:trHeight w:val="290"/>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Sale of Power  HT category (including unbilled revenue)</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7317.59</w:t>
            </w:r>
          </w:p>
        </w:tc>
      </w:tr>
      <w:tr w:rsidR="0027602B" w:rsidRPr="0027602B" w:rsidTr="00702CCA">
        <w:trPr>
          <w:trHeight w:val="257"/>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b/>
                <w:bCs/>
                <w:sz w:val="20"/>
                <w:szCs w:val="20"/>
                <w:lang w:eastAsia="en-IN"/>
              </w:rPr>
            </w:pPr>
            <w:r w:rsidRPr="0027602B">
              <w:rPr>
                <w:rFonts w:ascii="Bookman Old Style" w:eastAsia="Times New Roman" w:hAnsi="Bookman Old Style" w:cs="Calibri"/>
                <w:b/>
                <w:bCs/>
                <w:sz w:val="20"/>
                <w:szCs w:val="20"/>
                <w:lang w:eastAsia="en-IN"/>
              </w:rPr>
              <w:t>Total (A)</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b/>
                <w:bCs/>
                <w:sz w:val="20"/>
                <w:szCs w:val="20"/>
                <w:lang w:eastAsia="en-IN"/>
              </w:rPr>
            </w:pPr>
            <w:r w:rsidRPr="0027602B">
              <w:rPr>
                <w:rFonts w:ascii="Bookman Old Style" w:eastAsia="Times New Roman" w:hAnsi="Bookman Old Style" w:cs="Calibri"/>
                <w:b/>
                <w:bCs/>
                <w:sz w:val="20"/>
                <w:szCs w:val="20"/>
                <w:lang w:eastAsia="en-IN"/>
              </w:rPr>
              <w:t>19824.43</w:t>
            </w:r>
          </w:p>
        </w:tc>
      </w:tr>
      <w:tr w:rsidR="0027602B" w:rsidRPr="0027602B" w:rsidTr="00702CCA">
        <w:trPr>
          <w:trHeight w:val="257"/>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b/>
                <w:bCs/>
                <w:sz w:val="20"/>
                <w:szCs w:val="20"/>
                <w:lang w:eastAsia="en-IN"/>
              </w:rPr>
            </w:pPr>
            <w:r w:rsidRPr="0027602B">
              <w:rPr>
                <w:rFonts w:ascii="Bookman Old Style" w:eastAsia="Times New Roman" w:hAnsi="Bookman Old Style" w:cs="Calibri"/>
                <w:b/>
                <w:bCs/>
                <w:sz w:val="20"/>
                <w:szCs w:val="20"/>
                <w:lang w:eastAsia="en-IN"/>
              </w:rPr>
              <w:t>Other Operating Income</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center"/>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 </w:t>
            </w:r>
          </w:p>
        </w:tc>
      </w:tr>
      <w:tr w:rsidR="0027602B" w:rsidRPr="0027602B" w:rsidTr="00702CCA">
        <w:trPr>
          <w:trHeight w:val="257"/>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Reconnection Fee (D &amp; R)</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0.00</w:t>
            </w:r>
          </w:p>
        </w:tc>
      </w:tr>
      <w:tr w:rsidR="0027602B" w:rsidRPr="0027602B" w:rsidTr="00702CCA">
        <w:trPr>
          <w:trHeight w:val="257"/>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Public lighting Maintenance Charges</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0.01</w:t>
            </w:r>
          </w:p>
        </w:tc>
      </w:tr>
      <w:tr w:rsidR="0027602B" w:rsidRPr="0027602B" w:rsidTr="00702CCA">
        <w:trPr>
          <w:trHeight w:val="257"/>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 xml:space="preserve">Service Connection </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71.48</w:t>
            </w:r>
          </w:p>
        </w:tc>
      </w:tr>
      <w:tr w:rsidR="0027602B" w:rsidRPr="0027602B" w:rsidTr="00702CCA">
        <w:trPr>
          <w:trHeight w:val="257"/>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Other Receipts from consumers</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16.19</w:t>
            </w:r>
          </w:p>
        </w:tc>
      </w:tr>
      <w:tr w:rsidR="0027602B" w:rsidRPr="0027602B" w:rsidTr="00702CCA">
        <w:trPr>
          <w:trHeight w:val="257"/>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Delayed payment charges from consumers</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325.60</w:t>
            </w:r>
          </w:p>
        </w:tc>
      </w:tr>
      <w:tr w:rsidR="0027602B" w:rsidRPr="0027602B" w:rsidTr="00702CCA">
        <w:trPr>
          <w:trHeight w:val="501"/>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Registration fee towards SRTPV connection (Solar rooftop PV system</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0.38</w:t>
            </w:r>
          </w:p>
        </w:tc>
      </w:tr>
      <w:tr w:rsidR="0027602B" w:rsidRPr="0027602B" w:rsidTr="00702CCA">
        <w:trPr>
          <w:trHeight w:val="501"/>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Facilitation fee towards SRTPV connection (Solar rooftop PV system)</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0.03</w:t>
            </w:r>
          </w:p>
        </w:tc>
      </w:tr>
      <w:tr w:rsidR="0027602B" w:rsidRPr="0027602B" w:rsidTr="00702CCA">
        <w:trPr>
          <w:trHeight w:val="257"/>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Fuel Adjustment Charges</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589.14</w:t>
            </w:r>
          </w:p>
        </w:tc>
      </w:tr>
      <w:tr w:rsidR="0027602B" w:rsidRPr="0027602B" w:rsidTr="00702CCA">
        <w:trPr>
          <w:trHeight w:val="419"/>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Cross subsidy surcharge and additional surcharge</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362.50</w:t>
            </w:r>
          </w:p>
        </w:tc>
      </w:tr>
      <w:tr w:rsidR="0027602B" w:rsidRPr="0027602B" w:rsidTr="00702CCA">
        <w:trPr>
          <w:trHeight w:val="257"/>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Recoveries for theft of power</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52.19</w:t>
            </w:r>
          </w:p>
        </w:tc>
      </w:tr>
      <w:tr w:rsidR="0027602B" w:rsidRPr="0027602B" w:rsidTr="00702CCA">
        <w:trPr>
          <w:trHeight w:val="257"/>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Meter Rent Collected from prepaid Consumer</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13.90</w:t>
            </w:r>
          </w:p>
        </w:tc>
      </w:tr>
      <w:tr w:rsidR="0027602B" w:rsidRPr="0027602B" w:rsidTr="00702CCA">
        <w:trPr>
          <w:trHeight w:val="257"/>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b/>
                <w:bCs/>
                <w:sz w:val="20"/>
                <w:szCs w:val="20"/>
                <w:lang w:eastAsia="en-IN"/>
              </w:rPr>
            </w:pPr>
            <w:r w:rsidRPr="0027602B">
              <w:rPr>
                <w:rFonts w:ascii="Bookman Old Style" w:eastAsia="Times New Roman" w:hAnsi="Bookman Old Style" w:cs="Calibri"/>
                <w:b/>
                <w:bCs/>
                <w:sz w:val="20"/>
                <w:szCs w:val="20"/>
                <w:lang w:eastAsia="en-IN"/>
              </w:rPr>
              <w:t>Total (B)</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b/>
                <w:bCs/>
                <w:sz w:val="20"/>
                <w:szCs w:val="20"/>
                <w:lang w:eastAsia="en-IN"/>
              </w:rPr>
            </w:pPr>
            <w:r w:rsidRPr="0027602B">
              <w:rPr>
                <w:rFonts w:ascii="Bookman Old Style" w:eastAsia="Times New Roman" w:hAnsi="Bookman Old Style" w:cs="Calibri"/>
                <w:b/>
                <w:bCs/>
                <w:sz w:val="20"/>
                <w:szCs w:val="20"/>
                <w:lang w:eastAsia="en-IN"/>
              </w:rPr>
              <w:t>1431.42</w:t>
            </w:r>
          </w:p>
        </w:tc>
      </w:tr>
      <w:tr w:rsidR="0027602B" w:rsidRPr="0027602B" w:rsidTr="00702CCA">
        <w:trPr>
          <w:trHeight w:val="257"/>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b/>
                <w:bCs/>
                <w:sz w:val="20"/>
                <w:szCs w:val="20"/>
                <w:lang w:eastAsia="en-IN"/>
              </w:rPr>
            </w:pPr>
            <w:r w:rsidRPr="0027602B">
              <w:rPr>
                <w:rFonts w:ascii="Bookman Old Style" w:eastAsia="Times New Roman" w:hAnsi="Bookman Old Style" w:cs="Calibri"/>
                <w:b/>
                <w:bCs/>
                <w:sz w:val="20"/>
                <w:szCs w:val="20"/>
                <w:lang w:eastAsia="en-IN"/>
              </w:rPr>
              <w:t>Total (A)+(B)</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b/>
                <w:bCs/>
                <w:sz w:val="20"/>
                <w:szCs w:val="20"/>
                <w:lang w:eastAsia="en-IN"/>
              </w:rPr>
            </w:pPr>
            <w:r w:rsidRPr="0027602B">
              <w:rPr>
                <w:rFonts w:ascii="Bookman Old Style" w:eastAsia="Times New Roman" w:hAnsi="Bookman Old Style" w:cs="Calibri"/>
                <w:b/>
                <w:bCs/>
                <w:sz w:val="20"/>
                <w:szCs w:val="20"/>
                <w:lang w:eastAsia="en-IN"/>
              </w:rPr>
              <w:t>21255.85</w:t>
            </w:r>
          </w:p>
        </w:tc>
      </w:tr>
      <w:tr w:rsidR="0027602B" w:rsidRPr="0027602B" w:rsidTr="00702CCA">
        <w:trPr>
          <w:trHeight w:val="102"/>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Less: Provision for withdrawal of Revenue Demand</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17.21</w:t>
            </w:r>
          </w:p>
        </w:tc>
      </w:tr>
      <w:tr w:rsidR="0027602B" w:rsidRPr="0027602B" w:rsidTr="00702CCA">
        <w:trPr>
          <w:trHeight w:val="501"/>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Less: Withdrawal of revenue demand as credit adjustment.</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20.31</w:t>
            </w:r>
          </w:p>
        </w:tc>
      </w:tr>
      <w:tr w:rsidR="0027602B" w:rsidRPr="0027602B" w:rsidTr="00702CCA">
        <w:trPr>
          <w:trHeight w:val="241"/>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Less: Credit Adjustment through Balance Transfer system</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sz w:val="20"/>
                <w:szCs w:val="20"/>
                <w:lang w:eastAsia="en-IN"/>
              </w:rPr>
            </w:pPr>
            <w:r w:rsidRPr="0027602B">
              <w:rPr>
                <w:rFonts w:ascii="Bookman Old Style" w:eastAsia="Times New Roman" w:hAnsi="Bookman Old Style" w:cs="Calibri"/>
                <w:sz w:val="20"/>
                <w:szCs w:val="20"/>
                <w:lang w:eastAsia="en-IN"/>
              </w:rPr>
              <w:t>47.64</w:t>
            </w:r>
          </w:p>
        </w:tc>
      </w:tr>
      <w:tr w:rsidR="0027602B" w:rsidRPr="0027602B" w:rsidTr="00702CCA">
        <w:trPr>
          <w:trHeight w:val="257"/>
          <w:jc w:val="center"/>
        </w:trPr>
        <w:tc>
          <w:tcPr>
            <w:tcW w:w="5853" w:type="dxa"/>
            <w:tcBorders>
              <w:top w:val="nil"/>
              <w:left w:val="single" w:sz="8" w:space="0" w:color="auto"/>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rPr>
                <w:rFonts w:ascii="Bookman Old Style" w:eastAsia="Times New Roman" w:hAnsi="Bookman Old Style" w:cs="Calibri"/>
                <w:b/>
                <w:bCs/>
                <w:sz w:val="20"/>
                <w:szCs w:val="20"/>
                <w:lang w:eastAsia="en-IN"/>
              </w:rPr>
            </w:pPr>
            <w:r w:rsidRPr="0027602B">
              <w:rPr>
                <w:rFonts w:ascii="Bookman Old Style" w:eastAsia="Times New Roman" w:hAnsi="Bookman Old Style" w:cs="Calibri"/>
                <w:b/>
                <w:bCs/>
                <w:sz w:val="20"/>
                <w:szCs w:val="20"/>
                <w:lang w:eastAsia="en-IN"/>
              </w:rPr>
              <w:t>Grand Total</w:t>
            </w:r>
          </w:p>
        </w:tc>
        <w:tc>
          <w:tcPr>
            <w:tcW w:w="2675" w:type="dxa"/>
            <w:tcBorders>
              <w:top w:val="nil"/>
              <w:left w:val="nil"/>
              <w:bottom w:val="single" w:sz="8" w:space="0" w:color="auto"/>
              <w:right w:val="single" w:sz="8" w:space="0" w:color="auto"/>
            </w:tcBorders>
            <w:shd w:val="clear" w:color="auto" w:fill="auto"/>
            <w:vAlign w:val="center"/>
            <w:hideMark/>
          </w:tcPr>
          <w:p w:rsidR="00384C8E" w:rsidRPr="0027602B" w:rsidRDefault="00384C8E" w:rsidP="00702CCA">
            <w:pPr>
              <w:spacing w:after="0" w:line="240" w:lineRule="auto"/>
              <w:jc w:val="right"/>
              <w:rPr>
                <w:rFonts w:ascii="Bookman Old Style" w:eastAsia="Times New Roman" w:hAnsi="Bookman Old Style" w:cs="Calibri"/>
                <w:b/>
                <w:bCs/>
                <w:sz w:val="20"/>
                <w:szCs w:val="20"/>
                <w:lang w:eastAsia="en-IN"/>
              </w:rPr>
            </w:pPr>
            <w:r w:rsidRPr="0027602B">
              <w:rPr>
                <w:rFonts w:ascii="Bookman Old Style" w:eastAsia="Times New Roman" w:hAnsi="Bookman Old Style" w:cs="Calibri"/>
                <w:b/>
                <w:bCs/>
                <w:sz w:val="20"/>
                <w:szCs w:val="20"/>
                <w:lang w:eastAsia="en-IN"/>
              </w:rPr>
              <w:t>21170.69</w:t>
            </w:r>
          </w:p>
        </w:tc>
      </w:tr>
    </w:tbl>
    <w:p w:rsidR="00381ACE" w:rsidRDefault="00381ACE" w:rsidP="00717D3E">
      <w:pPr>
        <w:spacing w:line="240" w:lineRule="auto"/>
        <w:ind w:left="5040" w:right="67" w:firstLine="720"/>
        <w:rPr>
          <w:rFonts w:ascii="Bookman Old Style" w:eastAsiaTheme="minorEastAsia" w:hAnsi="Bookman Old Style" w:cs="Arial"/>
          <w:b/>
          <w:sz w:val="20"/>
          <w:szCs w:val="26"/>
        </w:rPr>
      </w:pPr>
    </w:p>
    <w:p w:rsidR="00381ACE" w:rsidRDefault="00381ACE" w:rsidP="00717D3E">
      <w:pPr>
        <w:tabs>
          <w:tab w:val="left" w:pos="2296"/>
        </w:tabs>
        <w:spacing w:line="360" w:lineRule="auto"/>
        <w:ind w:right="67"/>
        <w:jc w:val="both"/>
        <w:rPr>
          <w:rFonts w:ascii="Bookman Old Style" w:eastAsiaTheme="minorEastAsia" w:hAnsi="Bookman Old Style" w:cs="Arial"/>
        </w:rPr>
      </w:pPr>
      <w:r>
        <w:rPr>
          <w:rFonts w:ascii="Bookman Old Style" w:eastAsiaTheme="minorEastAsia" w:hAnsi="Bookman Old Style" w:cs="Arial"/>
        </w:rPr>
        <w:lastRenderedPageBreak/>
        <w:t>Revenue realized through tariff is compared with the approved revenue from tariff in the below table:</w:t>
      </w:r>
    </w:p>
    <w:p w:rsidR="00092826" w:rsidRDefault="00092826" w:rsidP="00092826">
      <w:pPr>
        <w:spacing w:line="360" w:lineRule="auto"/>
        <w:ind w:right="67"/>
        <w:jc w:val="center"/>
        <w:rPr>
          <w:rFonts w:ascii="Bookman Old Style" w:hAnsi="Bookman Old Style" w:cs="Calibri"/>
          <w:b/>
          <w:bCs/>
          <w:sz w:val="18"/>
          <w:lang w:eastAsia="en-IN"/>
        </w:rPr>
      </w:pPr>
      <w:r w:rsidRPr="00294DAD">
        <w:rPr>
          <w:rFonts w:ascii="Bookman Old Style" w:hAnsi="Bookman Old Style" w:cs="Calibri"/>
          <w:b/>
          <w:bCs/>
          <w:sz w:val="18"/>
          <w:lang w:eastAsia="en-IN"/>
        </w:rPr>
        <w:t>Table 3.1</w:t>
      </w:r>
      <w:r w:rsidR="00BD7749">
        <w:rPr>
          <w:rFonts w:ascii="Bookman Old Style" w:hAnsi="Bookman Old Style" w:cs="Calibri"/>
          <w:b/>
          <w:bCs/>
          <w:sz w:val="18"/>
          <w:lang w:eastAsia="en-IN"/>
        </w:rPr>
        <w:t>5</w:t>
      </w:r>
    </w:p>
    <w:tbl>
      <w:tblPr>
        <w:tblW w:w="10550" w:type="dxa"/>
        <w:jc w:val="center"/>
        <w:tblLayout w:type="fixed"/>
        <w:tblLook w:val="04A0" w:firstRow="1" w:lastRow="0" w:firstColumn="1" w:lastColumn="0" w:noHBand="0" w:noVBand="1"/>
      </w:tblPr>
      <w:tblGrid>
        <w:gridCol w:w="461"/>
        <w:gridCol w:w="1156"/>
        <w:gridCol w:w="1109"/>
        <w:gridCol w:w="1109"/>
        <w:gridCol w:w="1127"/>
        <w:gridCol w:w="1098"/>
        <w:gridCol w:w="1109"/>
        <w:gridCol w:w="1109"/>
        <w:gridCol w:w="1078"/>
        <w:gridCol w:w="1194"/>
      </w:tblGrid>
      <w:tr w:rsidR="00C756A3" w:rsidRPr="00C756A3" w:rsidTr="00487BA9">
        <w:trPr>
          <w:trHeight w:val="317"/>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Sl No</w:t>
            </w:r>
          </w:p>
        </w:tc>
        <w:tc>
          <w:tcPr>
            <w:tcW w:w="11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Category</w:t>
            </w:r>
          </w:p>
        </w:tc>
        <w:tc>
          <w:tcPr>
            <w:tcW w:w="22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 xml:space="preserve">Approved </w:t>
            </w:r>
          </w:p>
        </w:tc>
        <w:tc>
          <w:tcPr>
            <w:tcW w:w="1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Average Realization in Rs. Per Kwh</w:t>
            </w:r>
          </w:p>
        </w:tc>
        <w:tc>
          <w:tcPr>
            <w:tcW w:w="10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 xml:space="preserve"> Level of Cross Subsidy in % with ref. to ACS</w:t>
            </w:r>
          </w:p>
        </w:tc>
        <w:tc>
          <w:tcPr>
            <w:tcW w:w="22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Actuals</w:t>
            </w:r>
          </w:p>
        </w:tc>
        <w:tc>
          <w:tcPr>
            <w:tcW w:w="10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Average Realization in Rs. Per Kwh</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 xml:space="preserve"> Level of Cross Subsidy in % with ref. to ACS Rs.8.17</w:t>
            </w:r>
          </w:p>
        </w:tc>
      </w:tr>
      <w:tr w:rsidR="00C756A3" w:rsidRPr="00C756A3" w:rsidTr="00487BA9">
        <w:trPr>
          <w:trHeight w:val="317"/>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2218" w:type="dxa"/>
            <w:gridSpan w:val="2"/>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2218" w:type="dxa"/>
            <w:gridSpan w:val="2"/>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r>
      <w:tr w:rsidR="00C756A3" w:rsidRPr="00C756A3" w:rsidTr="00487BA9">
        <w:trPr>
          <w:trHeight w:val="317"/>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109" w:type="dxa"/>
            <w:vMerge w:val="restart"/>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Sales-MU</w:t>
            </w:r>
          </w:p>
        </w:tc>
        <w:tc>
          <w:tcPr>
            <w:tcW w:w="1109" w:type="dxa"/>
            <w:vMerge w:val="restart"/>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Revenue Rs.</w:t>
            </w:r>
            <w:r w:rsidR="00487BA9">
              <w:rPr>
                <w:rFonts w:ascii="Bookman Old Style" w:eastAsia="Times New Roman" w:hAnsi="Bookman Old Style" w:cs="Calibri"/>
                <w:b/>
                <w:bCs/>
                <w:sz w:val="18"/>
                <w:szCs w:val="18"/>
                <w:lang w:eastAsia="en-IN"/>
              </w:rPr>
              <w:t xml:space="preserve"> Crs.</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109" w:type="dxa"/>
            <w:vMerge w:val="restart"/>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Sales-MU</w:t>
            </w:r>
          </w:p>
        </w:tc>
        <w:tc>
          <w:tcPr>
            <w:tcW w:w="1109" w:type="dxa"/>
            <w:vMerge w:val="restart"/>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Revenue Rs.</w:t>
            </w:r>
            <w:r w:rsidR="00487BA9">
              <w:rPr>
                <w:rFonts w:ascii="Bookman Old Style" w:eastAsia="Times New Roman" w:hAnsi="Bookman Old Style" w:cs="Calibri"/>
                <w:b/>
                <w:bCs/>
                <w:sz w:val="18"/>
                <w:szCs w:val="18"/>
                <w:lang w:eastAsia="en-IN"/>
              </w:rPr>
              <w:t xml:space="preserve"> Crs.</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r>
      <w:tr w:rsidR="00C756A3" w:rsidRPr="00C756A3" w:rsidTr="00487BA9">
        <w:trPr>
          <w:trHeight w:val="952"/>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109" w:type="dxa"/>
            <w:vMerge/>
            <w:tcBorders>
              <w:top w:val="nil"/>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109" w:type="dxa"/>
            <w:vMerge/>
            <w:tcBorders>
              <w:top w:val="nil"/>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109" w:type="dxa"/>
            <w:vMerge/>
            <w:tcBorders>
              <w:top w:val="nil"/>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109" w:type="dxa"/>
            <w:vMerge/>
            <w:tcBorders>
              <w:top w:val="nil"/>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p>
        </w:tc>
      </w:tr>
      <w:tr w:rsidR="00C756A3" w:rsidRPr="00C756A3" w:rsidTr="00487BA9">
        <w:trPr>
          <w:trHeight w:val="780"/>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LT-1[fully subsidised by GoK]</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137.90</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101.63</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7.37</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0.00</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177.65</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129.19</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7.27</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-12.35%</w:t>
            </w:r>
          </w:p>
        </w:tc>
      </w:tr>
      <w:tr w:rsidR="00C756A3" w:rsidRPr="00C756A3" w:rsidTr="00487BA9">
        <w:trPr>
          <w:trHeight w:val="28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LT-1</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45.98</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22.18</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4.82</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-34.55</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46.78</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25.51</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5.45</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-49.83%</w:t>
            </w:r>
          </w:p>
        </w:tc>
      </w:tr>
      <w:tr w:rsidR="00C756A3" w:rsidRPr="00C756A3" w:rsidTr="00487BA9">
        <w:trPr>
          <w:trHeight w:val="43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LT-2(a)(i)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6716.84</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4547.26</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6.77</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-8.17</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6530.48</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4491.70</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6.88</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-18.78%</w:t>
            </w:r>
          </w:p>
        </w:tc>
      </w:tr>
      <w:tr w:rsidR="00C756A3" w:rsidRPr="00C756A3" w:rsidTr="00487BA9">
        <w:trPr>
          <w:trHeight w:val="43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LT-2(a)(ii)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760.02</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460.21</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6.06</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-17.86</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755.34</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459.63</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6.09</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-34.26%</w:t>
            </w:r>
          </w:p>
        </w:tc>
      </w:tr>
      <w:tr w:rsidR="00C756A3" w:rsidRPr="00C756A3" w:rsidTr="00487BA9">
        <w:trPr>
          <w:trHeight w:val="450"/>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LT-2(b)(i)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47.93</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40.73</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8.50</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15.27</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49.11</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43.39</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8.84</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7.53%</w:t>
            </w:r>
          </w:p>
        </w:tc>
      </w:tr>
      <w:tr w:rsidR="00C756A3" w:rsidRPr="00C756A3" w:rsidTr="00487BA9">
        <w:trPr>
          <w:trHeight w:val="570"/>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6</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LT-2(b)(ii)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6.89</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5.22</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7.58</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2.78</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7.46</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6.40</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8.58</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4.73%</w:t>
            </w:r>
          </w:p>
        </w:tc>
      </w:tr>
      <w:tr w:rsidR="00C756A3" w:rsidRPr="00C756A3" w:rsidTr="00487BA9">
        <w:trPr>
          <w:trHeight w:val="390"/>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LT-3(i)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2073.68</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1994.17</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9.62</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30.45</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2030.20</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1997.32</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9.84</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16.96%</w:t>
            </w:r>
          </w:p>
        </w:tc>
      </w:tr>
      <w:tr w:rsidR="00C756A3" w:rsidRPr="00C756A3" w:rsidTr="00487BA9">
        <w:trPr>
          <w:trHeight w:val="450"/>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8</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LT-3(ii)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173.48</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154.55</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8.91</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20.84</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210.62</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196.09</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9.31</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12.25%</w:t>
            </w:r>
          </w:p>
        </w:tc>
      </w:tr>
      <w:tr w:rsidR="00C756A3" w:rsidRPr="00C756A3" w:rsidTr="00487BA9">
        <w:trPr>
          <w:trHeight w:val="34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9</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LT-4(a)(i)*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6625.09</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2583.79</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3.90</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-47.10</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6916.36</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2674.28</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3.87</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-111.30%</w:t>
            </w:r>
          </w:p>
        </w:tc>
      </w:tr>
      <w:tr w:rsidR="00C756A3" w:rsidRPr="00C756A3" w:rsidTr="00487BA9">
        <w:trPr>
          <w:trHeight w:val="31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10</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LT-4(b)</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1.73</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0.99</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5.72</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22.62</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1.35</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0.74</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5.50</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-48.44%</w:t>
            </w:r>
          </w:p>
        </w:tc>
      </w:tr>
      <w:tr w:rsidR="00C756A3" w:rsidRPr="00C756A3" w:rsidTr="00487BA9">
        <w:trPr>
          <w:trHeight w:val="270"/>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11</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LT-4 ©</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4.54</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2.31</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5.09</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-55.72</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5.67</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2.79</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4.93</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-65.78%</w:t>
            </w:r>
          </w:p>
        </w:tc>
      </w:tr>
      <w:tr w:rsidR="00C756A3" w:rsidRPr="00C756A3" w:rsidTr="00487BA9">
        <w:trPr>
          <w:trHeight w:val="40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12</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LT-5(a)</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922.45</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771.95</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8.37</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13.52</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864.62</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690.68</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7.99</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-2.27%</w:t>
            </w:r>
          </w:p>
        </w:tc>
      </w:tr>
      <w:tr w:rsidR="00C756A3" w:rsidRPr="00C756A3" w:rsidTr="00487BA9">
        <w:trPr>
          <w:trHeight w:val="40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13</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LT-5(b)</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346.74</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326.40</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9.41</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27.69</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353.05</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275.31</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7.80</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-4.77%</w:t>
            </w:r>
          </w:p>
        </w:tc>
      </w:tr>
      <w:tr w:rsidR="00C756A3" w:rsidRPr="00C756A3" w:rsidTr="00487BA9">
        <w:trPr>
          <w:trHeight w:val="31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14</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LT-6a</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1352.55</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762.50</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5.64</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-23.63</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1317.38</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712.40</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5.41</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-51.08%</w:t>
            </w:r>
          </w:p>
        </w:tc>
      </w:tr>
      <w:tr w:rsidR="00C756A3" w:rsidRPr="00C756A3" w:rsidTr="00487BA9">
        <w:trPr>
          <w:trHeight w:val="31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15</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LT-6b</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513.92</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384.46</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7.48</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1.48</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524.64</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388.09</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7.40</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-10.45%</w:t>
            </w:r>
          </w:p>
        </w:tc>
      </w:tr>
      <w:tr w:rsidR="00C756A3" w:rsidRPr="00C756A3" w:rsidTr="00487BA9">
        <w:trPr>
          <w:trHeight w:val="49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16</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LT-7</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141.02</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207.84</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14.74</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266.27</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205.45</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404.34</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19.68</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58.49%</w:t>
            </w:r>
          </w:p>
        </w:tc>
      </w:tr>
      <w:tr w:rsidR="00C756A3" w:rsidRPr="00C756A3" w:rsidTr="00487BA9">
        <w:trPr>
          <w:trHeight w:val="31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 </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LT - TOTAL</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19870.76</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12366.19</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6.22</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-15.58</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19996.16</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12497.88</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124.82</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-30.72%</w:t>
            </w:r>
          </w:p>
        </w:tc>
      </w:tr>
      <w:tr w:rsidR="00C756A3" w:rsidRPr="00C756A3" w:rsidTr="00487BA9">
        <w:trPr>
          <w:trHeight w:val="31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HT-1</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715.85</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420.72</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5.88</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-20.28</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762.04</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440.76</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5.78</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-41.25%</w:t>
            </w:r>
          </w:p>
        </w:tc>
      </w:tr>
      <w:tr w:rsidR="00C756A3" w:rsidRPr="00C756A3" w:rsidTr="00487BA9">
        <w:trPr>
          <w:trHeight w:val="40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HT-2(a)(i)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2910.20</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2716.01</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9.33</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26.6</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2388.73</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2286.03</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9.57</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14.63%</w:t>
            </w:r>
          </w:p>
        </w:tc>
      </w:tr>
      <w:tr w:rsidR="00C756A3" w:rsidRPr="00C756A3" w:rsidTr="00487BA9">
        <w:trPr>
          <w:trHeight w:val="480"/>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HT-2(a)(ii)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1956.36</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1750.36</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8.95</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21.37</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1784.33</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1634.75</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9.16</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10.82%</w:t>
            </w:r>
          </w:p>
        </w:tc>
      </w:tr>
      <w:tr w:rsidR="00C756A3" w:rsidRPr="00C756A3" w:rsidTr="00487BA9">
        <w:trPr>
          <w:trHeight w:val="46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HT-2(b)(i)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2576.18</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2743.88</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10.65</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44.48</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2174.26</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2646.53</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12.17</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32.88%</w:t>
            </w:r>
          </w:p>
        </w:tc>
      </w:tr>
      <w:tr w:rsidR="00C756A3" w:rsidRPr="00C756A3" w:rsidTr="00487BA9">
        <w:trPr>
          <w:trHeight w:val="40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HT-2(b)(ii)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243.01</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243.23</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10.01</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35.77</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171.36</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181.10</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10.57</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22.70%</w:t>
            </w:r>
          </w:p>
        </w:tc>
      </w:tr>
      <w:tr w:rsidR="00C756A3" w:rsidRPr="00C756A3" w:rsidTr="00487BA9">
        <w:trPr>
          <w:trHeight w:val="34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lastRenderedPageBreak/>
              <w:t>6</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HT-2(c) (i)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184.77</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149.52</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8.09</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9.77</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161.84</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133.14</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8.23</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0.69%</w:t>
            </w:r>
          </w:p>
        </w:tc>
      </w:tr>
      <w:tr w:rsidR="00C756A3" w:rsidRPr="00C756A3" w:rsidTr="00487BA9">
        <w:trPr>
          <w:trHeight w:val="390"/>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HT-2(c) (ii)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195.74</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188.38</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9.62</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30.55</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169.68</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166.80</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9.83</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16.89%</w:t>
            </w:r>
          </w:p>
        </w:tc>
      </w:tr>
      <w:tr w:rsidR="00C756A3" w:rsidRPr="00C756A3" w:rsidTr="00487BA9">
        <w:trPr>
          <w:trHeight w:val="46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8</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HT-3(a)(i)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42.90</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11.80</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2.75</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-62.70</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55.22</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18.03</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3.26</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-150.29%</w:t>
            </w:r>
          </w:p>
        </w:tc>
      </w:tr>
      <w:tr w:rsidR="00C756A3" w:rsidRPr="00C756A3" w:rsidTr="00487BA9">
        <w:trPr>
          <w:trHeight w:val="480"/>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9</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HT-3(a)(ii)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2.77</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0.95</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3.43</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-53.35</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1.87</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0.72</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3.86</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-111.41%</w:t>
            </w:r>
          </w:p>
        </w:tc>
      </w:tr>
      <w:tr w:rsidR="00C756A3" w:rsidRPr="00C756A3" w:rsidTr="00487BA9">
        <w:trPr>
          <w:trHeight w:val="37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10</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HT-3(a)(iii)</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0.00</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0.00</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0.00</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0.00</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0.00</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0.00</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 </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p>
        </w:tc>
      </w:tr>
      <w:tr w:rsidR="00C756A3" w:rsidRPr="00C756A3" w:rsidTr="00487BA9">
        <w:trPr>
          <w:trHeight w:val="31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11</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HT - 3b</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1.73</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0.82</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4.74</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-35.57</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1.33</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0.69</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5.23</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-56.10%</w:t>
            </w:r>
          </w:p>
        </w:tc>
      </w:tr>
      <w:tr w:rsidR="00C756A3" w:rsidRPr="00C756A3" w:rsidTr="00487BA9">
        <w:trPr>
          <w:trHeight w:val="40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12</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HT-4(a)</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70.38</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51.29</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7.29</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-1.15</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78.30</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61.58</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7.86</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-3.89%</w:t>
            </w:r>
          </w:p>
        </w:tc>
      </w:tr>
      <w:tr w:rsidR="00C756A3" w:rsidRPr="00C756A3" w:rsidTr="00487BA9">
        <w:trPr>
          <w:trHeight w:val="49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13</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HT-5</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87.67</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116.75</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13.32</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80.64</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89.48</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118.92</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13.29</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38.52%</w:t>
            </w:r>
          </w:p>
        </w:tc>
      </w:tr>
      <w:tr w:rsidR="00C756A3" w:rsidRPr="00C756A3" w:rsidTr="00487BA9">
        <w:trPr>
          <w:trHeight w:val="49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 </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HT - TOTAL</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8987.56</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8393.71</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9.34</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26.69</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7838.44</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7689.05</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9.81</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16.71%</w:t>
            </w:r>
          </w:p>
        </w:tc>
      </w:tr>
      <w:tr w:rsidR="00C756A3" w:rsidRPr="00C756A3" w:rsidTr="00487BA9">
        <w:trPr>
          <w:trHeight w:val="49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 </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TOTAL</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28858.32</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20759.90</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7.19</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27834.60</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20186.93</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7.25</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-12.65%</w:t>
            </w:r>
          </w:p>
        </w:tc>
      </w:tr>
      <w:tr w:rsidR="00C756A3" w:rsidRPr="00C756A3" w:rsidTr="00487BA9">
        <w:trPr>
          <w:trHeight w:val="600"/>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 </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Misc. Revenue</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 </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514.50</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 </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 </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 </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983.77</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 </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 </w:t>
            </w:r>
          </w:p>
        </w:tc>
      </w:tr>
      <w:tr w:rsidR="00C756A3" w:rsidRPr="00C756A3" w:rsidTr="00487BA9">
        <w:trPr>
          <w:trHeight w:val="525"/>
          <w:jc w:val="center"/>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center"/>
              <w:rPr>
                <w:rFonts w:ascii="Bookman Old Style" w:eastAsia="Times New Roman" w:hAnsi="Bookman Old Style" w:cs="Calibri"/>
                <w:sz w:val="18"/>
                <w:szCs w:val="18"/>
                <w:lang w:eastAsia="en-IN"/>
              </w:rPr>
            </w:pPr>
            <w:r w:rsidRPr="00C756A3">
              <w:rPr>
                <w:rFonts w:ascii="Bookman Old Style" w:eastAsia="Times New Roman" w:hAnsi="Bookman Old Style" w:cs="Calibri"/>
                <w:sz w:val="18"/>
                <w:szCs w:val="18"/>
                <w:lang w:eastAsia="en-IN"/>
              </w:rPr>
              <w:t> </w:t>
            </w:r>
          </w:p>
        </w:tc>
        <w:tc>
          <w:tcPr>
            <w:tcW w:w="1156"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Grand Total</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28858.32</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21274.40</w:t>
            </w:r>
          </w:p>
        </w:tc>
        <w:tc>
          <w:tcPr>
            <w:tcW w:w="1127"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7.37</w:t>
            </w:r>
          </w:p>
        </w:tc>
        <w:tc>
          <w:tcPr>
            <w:tcW w:w="109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27834.60</w:t>
            </w:r>
          </w:p>
        </w:tc>
        <w:tc>
          <w:tcPr>
            <w:tcW w:w="1109"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21170.69</w:t>
            </w:r>
          </w:p>
        </w:tc>
        <w:tc>
          <w:tcPr>
            <w:tcW w:w="1078"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7.61</w:t>
            </w:r>
          </w:p>
        </w:tc>
        <w:tc>
          <w:tcPr>
            <w:tcW w:w="1194" w:type="dxa"/>
            <w:tcBorders>
              <w:top w:val="nil"/>
              <w:left w:val="nil"/>
              <w:bottom w:val="single" w:sz="4" w:space="0" w:color="auto"/>
              <w:right w:val="single" w:sz="4" w:space="0" w:color="auto"/>
            </w:tcBorders>
            <w:shd w:val="clear" w:color="000000" w:fill="FFFFFF"/>
            <w:vAlign w:val="center"/>
            <w:hideMark/>
          </w:tcPr>
          <w:p w:rsidR="00C756A3" w:rsidRPr="00C756A3" w:rsidRDefault="00C756A3" w:rsidP="00487BA9">
            <w:pPr>
              <w:spacing w:after="0" w:line="360" w:lineRule="auto"/>
              <w:jc w:val="right"/>
              <w:rPr>
                <w:rFonts w:ascii="Bookman Old Style" w:eastAsia="Times New Roman" w:hAnsi="Bookman Old Style" w:cs="Calibri"/>
                <w:b/>
                <w:bCs/>
                <w:sz w:val="18"/>
                <w:szCs w:val="18"/>
                <w:lang w:eastAsia="en-IN"/>
              </w:rPr>
            </w:pPr>
            <w:r w:rsidRPr="00C756A3">
              <w:rPr>
                <w:rFonts w:ascii="Bookman Old Style" w:eastAsia="Times New Roman" w:hAnsi="Bookman Old Style" w:cs="Calibri"/>
                <w:b/>
                <w:bCs/>
                <w:sz w:val="18"/>
                <w:szCs w:val="18"/>
                <w:lang w:eastAsia="en-IN"/>
              </w:rPr>
              <w:t>-8.34%</w:t>
            </w:r>
          </w:p>
        </w:tc>
      </w:tr>
    </w:tbl>
    <w:p w:rsidR="00381ACE" w:rsidRPr="00AD163B" w:rsidRDefault="00381ACE" w:rsidP="00717D3E">
      <w:pPr>
        <w:tabs>
          <w:tab w:val="left" w:pos="2296"/>
        </w:tabs>
        <w:spacing w:line="360" w:lineRule="auto"/>
        <w:ind w:right="67"/>
        <w:jc w:val="both"/>
        <w:rPr>
          <w:rFonts w:ascii="Bookman Old Style" w:eastAsiaTheme="minorEastAsia" w:hAnsi="Bookman Old Style" w:cs="Arial"/>
          <w:color w:val="FF0000"/>
        </w:rPr>
      </w:pPr>
    </w:p>
    <w:p w:rsidR="00381ACE" w:rsidRPr="0053558D" w:rsidRDefault="00381ACE" w:rsidP="00717D3E">
      <w:pPr>
        <w:tabs>
          <w:tab w:val="left" w:pos="2296"/>
        </w:tabs>
        <w:spacing w:line="360" w:lineRule="auto"/>
        <w:ind w:right="67"/>
        <w:jc w:val="both"/>
        <w:rPr>
          <w:rFonts w:ascii="Bookman Old Style" w:eastAsiaTheme="minorEastAsia" w:hAnsi="Bookman Old Style" w:cs="Arial"/>
        </w:rPr>
      </w:pPr>
      <w:r w:rsidRPr="0053558D">
        <w:rPr>
          <w:rFonts w:ascii="Bookman Old Style" w:eastAsiaTheme="minorEastAsia" w:hAnsi="Bookman Old Style" w:cs="Arial"/>
        </w:rPr>
        <w:t xml:space="preserve">From the above table, it can be seen that there is a reduction in HT sales of </w:t>
      </w:r>
      <w:r w:rsidR="00454183">
        <w:rPr>
          <w:rFonts w:ascii="Bookman Old Style" w:eastAsiaTheme="minorEastAsia" w:hAnsi="Bookman Old Style" w:cs="Arial"/>
        </w:rPr>
        <w:t>1149.12</w:t>
      </w:r>
      <w:r w:rsidRPr="0053558D">
        <w:rPr>
          <w:rFonts w:ascii="Bookman Old Style" w:eastAsiaTheme="minorEastAsia" w:hAnsi="Bookman Old Style" w:cs="Arial"/>
        </w:rPr>
        <w:t xml:space="preserve"> MU from the approved level. This has resulted in the percentage reduction of cross subsidy component of </w:t>
      </w:r>
      <w:r w:rsidR="00A9167A">
        <w:rPr>
          <w:rFonts w:ascii="Bookman Old Style" w:eastAsiaTheme="minorEastAsia" w:hAnsi="Bookman Old Style" w:cs="Arial"/>
        </w:rPr>
        <w:t>9.98</w:t>
      </w:r>
      <w:r w:rsidRPr="0053558D">
        <w:rPr>
          <w:rFonts w:ascii="Bookman Old Style" w:eastAsiaTheme="minorEastAsia" w:hAnsi="Bookman Old Style" w:cs="Arial"/>
        </w:rPr>
        <w:t>%</w:t>
      </w:r>
      <w:r w:rsidR="007E7125">
        <w:rPr>
          <w:rFonts w:ascii="Bookman Old Style" w:eastAsiaTheme="minorEastAsia" w:hAnsi="Bookman Old Style" w:cs="Arial"/>
        </w:rPr>
        <w:t xml:space="preserve"> </w:t>
      </w:r>
      <w:r w:rsidRPr="0053558D">
        <w:rPr>
          <w:rFonts w:ascii="Bookman Old Style" w:eastAsiaTheme="minorEastAsia" w:hAnsi="Bookman Old Style" w:cs="Arial"/>
        </w:rPr>
        <w:t>(</w:t>
      </w:r>
      <w:r w:rsidR="000D5F2C">
        <w:rPr>
          <w:rFonts w:ascii="Bookman Old Style" w:eastAsiaTheme="minorEastAsia" w:hAnsi="Bookman Old Style" w:cs="Arial"/>
        </w:rPr>
        <w:t>26.69</w:t>
      </w:r>
      <w:r w:rsidRPr="0053558D">
        <w:rPr>
          <w:rFonts w:ascii="Bookman Old Style" w:eastAsiaTheme="minorEastAsia" w:hAnsi="Bookman Old Style" w:cs="Arial"/>
        </w:rPr>
        <w:t>%-</w:t>
      </w:r>
      <w:r w:rsidR="00523F80" w:rsidRPr="0053558D">
        <w:rPr>
          <w:rFonts w:ascii="Bookman Old Style" w:eastAsiaTheme="minorEastAsia" w:hAnsi="Bookman Old Style" w:cs="Arial"/>
        </w:rPr>
        <w:t>16.</w:t>
      </w:r>
      <w:r w:rsidR="00A9167A">
        <w:rPr>
          <w:rFonts w:ascii="Bookman Old Style" w:eastAsiaTheme="minorEastAsia" w:hAnsi="Bookman Old Style" w:cs="Arial"/>
        </w:rPr>
        <w:t>71</w:t>
      </w:r>
      <w:r w:rsidRPr="0053558D">
        <w:rPr>
          <w:rFonts w:ascii="Bookman Old Style" w:eastAsiaTheme="minorEastAsia" w:hAnsi="Bookman Old Style" w:cs="Arial"/>
        </w:rPr>
        <w:t xml:space="preserve">%). Increase in IP sales needs to be compensated with increase in cross subsidy component of </w:t>
      </w:r>
      <w:r w:rsidR="00966276" w:rsidRPr="001634C8">
        <w:rPr>
          <w:rFonts w:ascii="Bookman Old Style" w:eastAsiaTheme="minorEastAsia" w:hAnsi="Bookman Old Style" w:cs="Arial"/>
          <w:color w:val="000000" w:themeColor="text1"/>
        </w:rPr>
        <w:t>64.2</w:t>
      </w:r>
      <w:r w:rsidRPr="001634C8">
        <w:rPr>
          <w:rFonts w:ascii="Bookman Old Style" w:eastAsiaTheme="minorEastAsia" w:hAnsi="Bookman Old Style" w:cs="Arial"/>
          <w:color w:val="000000" w:themeColor="text1"/>
        </w:rPr>
        <w:t>%(-</w:t>
      </w:r>
      <w:r w:rsidR="00966276" w:rsidRPr="001634C8">
        <w:rPr>
          <w:rFonts w:ascii="Bookman Old Style" w:eastAsiaTheme="minorEastAsia" w:hAnsi="Bookman Old Style" w:cs="Arial"/>
          <w:color w:val="000000" w:themeColor="text1"/>
        </w:rPr>
        <w:t>47.10</w:t>
      </w:r>
      <w:r w:rsidRPr="001634C8">
        <w:rPr>
          <w:rFonts w:ascii="Bookman Old Style" w:eastAsiaTheme="minorEastAsia" w:hAnsi="Bookman Old Style" w:cs="Arial"/>
          <w:color w:val="000000" w:themeColor="text1"/>
        </w:rPr>
        <w:t>%-(-</w:t>
      </w:r>
      <w:r w:rsidR="00A9167A" w:rsidRPr="001634C8">
        <w:rPr>
          <w:rFonts w:ascii="Bookman Old Style" w:eastAsiaTheme="minorEastAsia" w:hAnsi="Bookman Old Style" w:cs="Arial"/>
          <w:color w:val="000000" w:themeColor="text1"/>
        </w:rPr>
        <w:t>111.30</w:t>
      </w:r>
      <w:r w:rsidRPr="001634C8">
        <w:rPr>
          <w:rFonts w:ascii="Bookman Old Style" w:eastAsiaTheme="minorEastAsia" w:hAnsi="Bookman Old Style" w:cs="Arial"/>
          <w:color w:val="000000" w:themeColor="text1"/>
        </w:rPr>
        <w:t>%)).</w:t>
      </w:r>
    </w:p>
    <w:p w:rsidR="00381ACE" w:rsidRPr="0053558D" w:rsidRDefault="00381ACE" w:rsidP="00717D3E">
      <w:pPr>
        <w:tabs>
          <w:tab w:val="left" w:pos="2296"/>
        </w:tabs>
        <w:spacing w:line="360" w:lineRule="auto"/>
        <w:ind w:right="67"/>
        <w:jc w:val="both"/>
        <w:rPr>
          <w:rFonts w:ascii="Bookman Old Style" w:eastAsiaTheme="minorEastAsia" w:hAnsi="Bookman Old Style" w:cs="Arial"/>
        </w:rPr>
      </w:pPr>
      <w:r w:rsidRPr="0053558D">
        <w:rPr>
          <w:rFonts w:ascii="Bookman Old Style" w:eastAsiaTheme="minorEastAsia" w:hAnsi="Bookman Old Style" w:cs="Arial"/>
        </w:rPr>
        <w:t>It can be seen from the above table that the average realization rate has increased from the approved Rs.</w:t>
      </w:r>
      <w:r w:rsidR="00175297">
        <w:rPr>
          <w:rFonts w:ascii="Bookman Old Style" w:eastAsiaTheme="minorEastAsia" w:hAnsi="Bookman Old Style" w:cs="Arial"/>
        </w:rPr>
        <w:t>7.37</w:t>
      </w:r>
      <w:r w:rsidRPr="0053558D">
        <w:rPr>
          <w:rFonts w:ascii="Bookman Old Style" w:eastAsiaTheme="minorEastAsia" w:hAnsi="Bookman Old Style" w:cs="Arial"/>
        </w:rPr>
        <w:t xml:space="preserve"> per unit to Rs.7.</w:t>
      </w:r>
      <w:r w:rsidR="003264BE" w:rsidRPr="0053558D">
        <w:rPr>
          <w:rFonts w:ascii="Bookman Old Style" w:eastAsiaTheme="minorEastAsia" w:hAnsi="Bookman Old Style" w:cs="Arial"/>
        </w:rPr>
        <w:t>61</w:t>
      </w:r>
      <w:r w:rsidRPr="0053558D">
        <w:rPr>
          <w:rFonts w:ascii="Bookman Old Style" w:eastAsiaTheme="minorEastAsia" w:hAnsi="Bookman Old Style" w:cs="Arial"/>
        </w:rPr>
        <w:t xml:space="preserve"> per unit. But, due to increase in the average cost of supply, the revenue for FY-</w:t>
      </w:r>
      <w:r w:rsidR="003264BE" w:rsidRPr="0053558D">
        <w:rPr>
          <w:rFonts w:ascii="Bookman Old Style" w:eastAsiaTheme="minorEastAsia" w:hAnsi="Bookman Old Style" w:cs="Arial"/>
        </w:rPr>
        <w:t>20</w:t>
      </w:r>
      <w:r w:rsidRPr="0053558D">
        <w:rPr>
          <w:rFonts w:ascii="Bookman Old Style" w:eastAsiaTheme="minorEastAsia" w:hAnsi="Bookman Old Style" w:cs="Arial"/>
        </w:rPr>
        <w:t xml:space="preserve"> is not reflecting the actual cost. </w:t>
      </w:r>
    </w:p>
    <w:p w:rsidR="00381ACE" w:rsidRPr="0053558D" w:rsidRDefault="00381ACE" w:rsidP="00717D3E">
      <w:pPr>
        <w:spacing w:line="360" w:lineRule="auto"/>
        <w:ind w:right="67"/>
        <w:jc w:val="both"/>
        <w:rPr>
          <w:rFonts w:ascii="Bookman Old Style" w:eastAsiaTheme="minorEastAsia" w:hAnsi="Bookman Old Style" w:cs="Arial"/>
          <w:b/>
        </w:rPr>
      </w:pPr>
      <w:r w:rsidRPr="0053558D">
        <w:rPr>
          <w:rFonts w:ascii="Bookman Old Style" w:eastAsiaTheme="minorEastAsia" w:hAnsi="Bookman Old Style" w:cs="Arial"/>
          <w:b/>
        </w:rPr>
        <w:t>Power Purchase Cost:</w:t>
      </w:r>
    </w:p>
    <w:p w:rsidR="00C94625" w:rsidRDefault="00381ACE" w:rsidP="007E7125">
      <w:pPr>
        <w:spacing w:line="360" w:lineRule="auto"/>
        <w:ind w:right="67"/>
        <w:jc w:val="both"/>
        <w:rPr>
          <w:rFonts w:ascii="Bookman Old Style" w:hAnsi="Bookman Old Style"/>
        </w:rPr>
      </w:pPr>
      <w:r w:rsidRPr="00844F11">
        <w:rPr>
          <w:rFonts w:ascii="Bookman Old Style" w:hAnsi="Bookman Old Style"/>
        </w:rPr>
        <w:t>The Hon’ble Co</w:t>
      </w:r>
      <w:r>
        <w:rPr>
          <w:rFonts w:ascii="Bookman Old Style" w:hAnsi="Bookman Old Style"/>
        </w:rPr>
        <w:t>mmission in its Tariff Order 2019</w:t>
      </w:r>
      <w:r w:rsidRPr="00844F11">
        <w:rPr>
          <w:rFonts w:ascii="Bookman Old Style" w:hAnsi="Bookman Old Style"/>
        </w:rPr>
        <w:t>,</w:t>
      </w:r>
      <w:r>
        <w:rPr>
          <w:rFonts w:ascii="Bookman Old Style" w:hAnsi="Bookman Old Style"/>
        </w:rPr>
        <w:t xml:space="preserve"> </w:t>
      </w:r>
      <w:r w:rsidRPr="00844F11">
        <w:rPr>
          <w:rFonts w:ascii="Bookman Old Style" w:hAnsi="Bookman Old Style"/>
        </w:rPr>
        <w:t xml:space="preserve">dtd </w:t>
      </w:r>
      <w:r>
        <w:rPr>
          <w:rFonts w:ascii="Bookman Old Style" w:hAnsi="Bookman Old Style"/>
        </w:rPr>
        <w:t>30.05.2019</w:t>
      </w:r>
      <w:r w:rsidRPr="00844F11">
        <w:rPr>
          <w:rFonts w:ascii="Bookman Old Style" w:hAnsi="Bookman Old Style"/>
        </w:rPr>
        <w:t xml:space="preserve"> has approved the Power Purchase quantum of </w:t>
      </w:r>
      <w:r>
        <w:rPr>
          <w:rFonts w:ascii="Bookman Old Style" w:hAnsi="Bookman Old Style"/>
        </w:rPr>
        <w:t>33960.83</w:t>
      </w:r>
      <w:r w:rsidRPr="00844F11">
        <w:rPr>
          <w:rFonts w:ascii="Bookman Old Style" w:hAnsi="Bookman Old Style"/>
        </w:rPr>
        <w:t>MU and Power Purchase cost of Rs.</w:t>
      </w:r>
      <w:r>
        <w:rPr>
          <w:rFonts w:ascii="Bookman Old Style" w:hAnsi="Bookman Old Style"/>
        </w:rPr>
        <w:t>18300.42</w:t>
      </w:r>
      <w:r w:rsidRPr="00844F11">
        <w:rPr>
          <w:rFonts w:ascii="Bookman Old Style" w:hAnsi="Bookman Old Style"/>
        </w:rPr>
        <w:t xml:space="preserve">Crs. </w:t>
      </w:r>
      <w:r w:rsidR="007E7125">
        <w:rPr>
          <w:rFonts w:ascii="Bookman Old Style" w:hAnsi="Bookman Old Style"/>
        </w:rPr>
        <w:t>with</w:t>
      </w:r>
      <w:r w:rsidRPr="00844F11">
        <w:rPr>
          <w:rFonts w:ascii="Bookman Old Style" w:hAnsi="Bookman Old Style"/>
        </w:rPr>
        <w:t xml:space="preserve"> the Average Power Purchase rate at Rs. </w:t>
      </w:r>
      <w:r>
        <w:rPr>
          <w:rFonts w:ascii="Bookman Old Style" w:hAnsi="Bookman Old Style"/>
        </w:rPr>
        <w:t>5.39</w:t>
      </w:r>
      <w:r w:rsidRPr="00844F11">
        <w:rPr>
          <w:rFonts w:ascii="Bookman Old Style" w:hAnsi="Bookman Old Style"/>
        </w:rPr>
        <w:t>/unit.</w:t>
      </w:r>
      <w:r>
        <w:rPr>
          <w:rFonts w:ascii="Bookman Old Style" w:hAnsi="Bookman Old Style"/>
        </w:rPr>
        <w:t xml:space="preserve"> As against the approved </w:t>
      </w:r>
      <w:r w:rsidRPr="0017662C">
        <w:rPr>
          <w:rFonts w:ascii="Bookman Old Style" w:hAnsi="Bookman Old Style"/>
        </w:rPr>
        <w:t xml:space="preserve">Average Power Purchase rate the actual Average Power Purchase </w:t>
      </w:r>
      <w:r w:rsidR="007E7125" w:rsidRPr="0017662C">
        <w:rPr>
          <w:rFonts w:ascii="Bookman Old Style" w:hAnsi="Bookman Old Style"/>
        </w:rPr>
        <w:t xml:space="preserve">rate </w:t>
      </w:r>
      <w:r w:rsidRPr="0017662C">
        <w:rPr>
          <w:rFonts w:ascii="Bookman Old Style" w:hAnsi="Bookman Old Style"/>
        </w:rPr>
        <w:t>incurred by BESCOM is Rs. 5.</w:t>
      </w:r>
      <w:r w:rsidR="007E7125" w:rsidRPr="0017662C">
        <w:rPr>
          <w:rFonts w:ascii="Bookman Old Style" w:hAnsi="Bookman Old Style"/>
        </w:rPr>
        <w:t>91</w:t>
      </w:r>
      <w:r w:rsidRPr="0017662C">
        <w:rPr>
          <w:rFonts w:ascii="Bookman Old Style" w:hAnsi="Bookman Old Style"/>
        </w:rPr>
        <w:t>/unit. Detailed summary of the power purchase is shown in the below table:</w:t>
      </w:r>
    </w:p>
    <w:p w:rsidR="00E5203C" w:rsidRDefault="00E5203C" w:rsidP="007E7125">
      <w:pPr>
        <w:spacing w:line="360" w:lineRule="auto"/>
        <w:ind w:right="67"/>
        <w:jc w:val="both"/>
        <w:rPr>
          <w:rFonts w:ascii="Bookman Old Style" w:hAnsi="Bookman Old Style"/>
        </w:rPr>
      </w:pPr>
    </w:p>
    <w:p w:rsidR="00E5203C" w:rsidRDefault="00E5203C" w:rsidP="007E7125">
      <w:pPr>
        <w:spacing w:line="360" w:lineRule="auto"/>
        <w:ind w:right="67"/>
        <w:jc w:val="both"/>
        <w:rPr>
          <w:rFonts w:ascii="Bookman Old Style" w:hAnsi="Bookman Old Style"/>
        </w:rPr>
      </w:pPr>
    </w:p>
    <w:p w:rsidR="00092826" w:rsidRDefault="00092826" w:rsidP="00092826">
      <w:pPr>
        <w:spacing w:line="360" w:lineRule="auto"/>
        <w:ind w:right="67"/>
        <w:jc w:val="center"/>
        <w:rPr>
          <w:rFonts w:ascii="Bookman Old Style" w:hAnsi="Bookman Old Style" w:cs="Calibri"/>
          <w:b/>
          <w:bCs/>
          <w:sz w:val="18"/>
          <w:lang w:eastAsia="en-IN"/>
        </w:rPr>
      </w:pPr>
      <w:r w:rsidRPr="0017662C">
        <w:rPr>
          <w:rFonts w:ascii="Bookman Old Style" w:hAnsi="Bookman Old Style" w:cs="Calibri"/>
          <w:b/>
          <w:bCs/>
          <w:sz w:val="18"/>
          <w:lang w:eastAsia="en-IN"/>
        </w:rPr>
        <w:lastRenderedPageBreak/>
        <w:t>Table 3.1</w:t>
      </w:r>
      <w:r w:rsidR="00BD7749" w:rsidRPr="0017662C">
        <w:rPr>
          <w:rFonts w:ascii="Bookman Old Style" w:hAnsi="Bookman Old Style" w:cs="Calibri"/>
          <w:b/>
          <w:bCs/>
          <w:sz w:val="18"/>
          <w:lang w:eastAsia="en-IN"/>
        </w:rPr>
        <w:t>6</w:t>
      </w:r>
    </w:p>
    <w:tbl>
      <w:tblPr>
        <w:tblStyle w:val="TableGrid"/>
        <w:tblW w:w="9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7662C" w:rsidTr="0035099A">
        <w:trPr>
          <w:trHeight w:val="75"/>
        </w:trPr>
        <w:tc>
          <w:tcPr>
            <w:tcW w:w="0" w:type="auto"/>
          </w:tcPr>
          <w:p w:rsidR="0017662C" w:rsidRDefault="001867CD" w:rsidP="00092826">
            <w:pPr>
              <w:spacing w:line="360" w:lineRule="auto"/>
              <w:ind w:right="67"/>
              <w:jc w:val="center"/>
              <w:rPr>
                <w:rFonts w:ascii="Bookman Old Style" w:hAnsi="Bookman Old Style" w:cs="Calibri"/>
                <w:b/>
                <w:bCs/>
                <w:sz w:val="18"/>
                <w:lang w:eastAsia="en-IN"/>
              </w:rPr>
            </w:pPr>
            <w:r>
              <w:rPr>
                <w:rFonts w:ascii="Bookman Old Style" w:hAnsi="Bookman Old Style" w:cs="Calibri"/>
                <w:b/>
                <w:bCs/>
                <w:noProof/>
                <w:sz w:val="18"/>
                <w:lang w:val="en-IN" w:eastAsia="en-IN"/>
              </w:rPr>
              <w:drawing>
                <wp:inline distT="0" distB="0" distL="0" distR="0" wp14:anchorId="09BD57FF" wp14:editId="3FE594FF">
                  <wp:extent cx="6044541" cy="8110847"/>
                  <wp:effectExtent l="0" t="0" r="0" b="5080"/>
                  <wp:docPr id="3" name="Picture 3" descr="D:\Kala\ERC\ERC FY-21\Chapter-3_Truing-up\Untitl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la\ERC\ERC FY-21\Chapter-3_Truing-up\Untitled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5746" cy="8125882"/>
                          </a:xfrm>
                          <a:prstGeom prst="rect">
                            <a:avLst/>
                          </a:prstGeom>
                          <a:noFill/>
                          <a:ln>
                            <a:noFill/>
                          </a:ln>
                        </pic:spPr>
                      </pic:pic>
                    </a:graphicData>
                  </a:graphic>
                </wp:inline>
              </w:drawing>
            </w:r>
          </w:p>
        </w:tc>
      </w:tr>
      <w:tr w:rsidR="0017662C" w:rsidTr="0035099A">
        <w:trPr>
          <w:trHeight w:val="75"/>
        </w:trPr>
        <w:tc>
          <w:tcPr>
            <w:tcW w:w="0" w:type="auto"/>
          </w:tcPr>
          <w:p w:rsidR="0017662C" w:rsidRDefault="001867CD" w:rsidP="00092826">
            <w:pPr>
              <w:spacing w:line="360" w:lineRule="auto"/>
              <w:ind w:right="67"/>
              <w:jc w:val="center"/>
              <w:rPr>
                <w:rFonts w:ascii="Bookman Old Style" w:hAnsi="Bookman Old Style" w:cs="Calibri"/>
                <w:b/>
                <w:bCs/>
                <w:sz w:val="18"/>
                <w:lang w:eastAsia="en-IN"/>
              </w:rPr>
            </w:pPr>
            <w:r>
              <w:rPr>
                <w:rFonts w:ascii="Bookman Old Style" w:hAnsi="Bookman Old Style" w:cs="Calibri"/>
                <w:b/>
                <w:bCs/>
                <w:noProof/>
                <w:sz w:val="18"/>
                <w:lang w:val="en-IN" w:eastAsia="en-IN"/>
              </w:rPr>
              <w:lastRenderedPageBreak/>
              <w:drawing>
                <wp:inline distT="0" distB="0" distL="0" distR="0" wp14:anchorId="33C0E827" wp14:editId="0A97009B">
                  <wp:extent cx="5723907" cy="8122723"/>
                  <wp:effectExtent l="0" t="0" r="0" b="0"/>
                  <wp:docPr id="9" name="Picture 9" descr="D:\Kala\ERC\ERC FY-21\Chapter-3_Truing-up\Untitled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ala\ERC\ERC FY-21\Chapter-3_Truing-up\Untitled 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6239" cy="8126033"/>
                          </a:xfrm>
                          <a:prstGeom prst="rect">
                            <a:avLst/>
                          </a:prstGeom>
                          <a:noFill/>
                          <a:ln>
                            <a:noFill/>
                          </a:ln>
                        </pic:spPr>
                      </pic:pic>
                    </a:graphicData>
                  </a:graphic>
                </wp:inline>
              </w:drawing>
            </w:r>
          </w:p>
        </w:tc>
      </w:tr>
      <w:tr w:rsidR="0017662C" w:rsidTr="0035099A">
        <w:trPr>
          <w:trHeight w:val="501"/>
        </w:trPr>
        <w:tc>
          <w:tcPr>
            <w:tcW w:w="0" w:type="auto"/>
          </w:tcPr>
          <w:p w:rsidR="0017662C" w:rsidRDefault="009E43D1" w:rsidP="00092826">
            <w:pPr>
              <w:spacing w:line="360" w:lineRule="auto"/>
              <w:ind w:right="67"/>
              <w:jc w:val="center"/>
              <w:rPr>
                <w:rFonts w:ascii="Bookman Old Style" w:hAnsi="Bookman Old Style" w:cs="Calibri"/>
                <w:b/>
                <w:bCs/>
                <w:sz w:val="18"/>
                <w:lang w:eastAsia="en-IN"/>
              </w:rPr>
            </w:pPr>
            <w:r>
              <w:rPr>
                <w:rFonts w:ascii="Bookman Old Style" w:hAnsi="Bookman Old Style" w:cs="Calibri"/>
                <w:b/>
                <w:bCs/>
                <w:noProof/>
                <w:sz w:val="18"/>
                <w:lang w:val="en-IN" w:eastAsia="en-IN"/>
              </w:rPr>
              <w:lastRenderedPageBreak/>
              <w:drawing>
                <wp:inline distT="0" distB="0" distL="0" distR="0" wp14:anchorId="48533F7C" wp14:editId="3CB740CE">
                  <wp:extent cx="5913911" cy="8205850"/>
                  <wp:effectExtent l="0" t="0" r="0" b="5080"/>
                  <wp:docPr id="10" name="Picture 10" descr="D:\Kala\ERC\ERC FY-21\Chapter-3_Truing-up\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la\ERC\ERC FY-21\Chapter-3_Truing-up\Untitled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3432" cy="8205185"/>
                          </a:xfrm>
                          <a:prstGeom prst="rect">
                            <a:avLst/>
                          </a:prstGeom>
                          <a:noFill/>
                          <a:ln>
                            <a:noFill/>
                          </a:ln>
                        </pic:spPr>
                      </pic:pic>
                    </a:graphicData>
                  </a:graphic>
                </wp:inline>
              </w:drawing>
            </w:r>
          </w:p>
        </w:tc>
      </w:tr>
    </w:tbl>
    <w:p w:rsidR="0017662C" w:rsidRDefault="0017662C" w:rsidP="00092826">
      <w:pPr>
        <w:spacing w:line="360" w:lineRule="auto"/>
        <w:ind w:right="67"/>
        <w:jc w:val="center"/>
        <w:rPr>
          <w:rFonts w:ascii="Bookman Old Style" w:hAnsi="Bookman Old Style" w:cs="Calibri"/>
          <w:b/>
          <w:bCs/>
          <w:sz w:val="18"/>
          <w:lang w:eastAsia="en-IN"/>
        </w:rPr>
      </w:pPr>
    </w:p>
    <w:p w:rsidR="00381ACE" w:rsidRPr="0017662C" w:rsidRDefault="00381ACE" w:rsidP="00652513">
      <w:pPr>
        <w:widowControl w:val="0"/>
        <w:numPr>
          <w:ilvl w:val="0"/>
          <w:numId w:val="13"/>
        </w:numPr>
        <w:tabs>
          <w:tab w:val="clear" w:pos="720"/>
        </w:tabs>
        <w:autoSpaceDE w:val="0"/>
        <w:autoSpaceDN w:val="0"/>
        <w:spacing w:after="0" w:line="360" w:lineRule="auto"/>
        <w:ind w:right="67"/>
        <w:jc w:val="both"/>
        <w:rPr>
          <w:rFonts w:ascii="Bookman Old Style" w:hAnsi="Bookman Old Style"/>
        </w:rPr>
      </w:pPr>
      <w:r w:rsidRPr="0017662C">
        <w:rPr>
          <w:rFonts w:ascii="Bookman Old Style" w:hAnsi="Bookman Old Style"/>
        </w:rPr>
        <w:lastRenderedPageBreak/>
        <w:t>The above table depicts the source wise increase in actual power purchase cost as against the approved power purchase cost during FY-20. BESCOM’s actual energy input is 1567.85 MU less than the approved energy input for FY-20, there is an increase of Rs.</w:t>
      </w:r>
      <w:r w:rsidR="005B4D30" w:rsidRPr="0017662C">
        <w:rPr>
          <w:rFonts w:ascii="Bookman Old Style" w:hAnsi="Bookman Old Style"/>
        </w:rPr>
        <w:t>844.</w:t>
      </w:r>
      <w:r w:rsidR="000E1359">
        <w:rPr>
          <w:rFonts w:ascii="Bookman Old Style" w:hAnsi="Bookman Old Style"/>
        </w:rPr>
        <w:t>52</w:t>
      </w:r>
      <w:r w:rsidRPr="0017662C">
        <w:rPr>
          <w:rFonts w:ascii="Bookman Old Style" w:hAnsi="Bookman Old Style"/>
        </w:rPr>
        <w:t xml:space="preserve"> Crs in the actual power purchase cost against the approved power purchase cost for FY-20.</w:t>
      </w:r>
    </w:p>
    <w:p w:rsidR="00381ACE" w:rsidRPr="0017662C" w:rsidRDefault="00381ACE" w:rsidP="00652513">
      <w:pPr>
        <w:widowControl w:val="0"/>
        <w:numPr>
          <w:ilvl w:val="0"/>
          <w:numId w:val="13"/>
        </w:numPr>
        <w:tabs>
          <w:tab w:val="clear" w:pos="720"/>
        </w:tabs>
        <w:autoSpaceDE w:val="0"/>
        <w:autoSpaceDN w:val="0"/>
        <w:spacing w:after="0" w:line="360" w:lineRule="auto"/>
        <w:ind w:right="67"/>
        <w:jc w:val="both"/>
        <w:rPr>
          <w:rFonts w:ascii="Bookman Old Style" w:hAnsi="Bookman Old Style"/>
        </w:rPr>
      </w:pPr>
      <w:r w:rsidRPr="0017662C">
        <w:rPr>
          <w:rFonts w:ascii="Bookman Old Style" w:hAnsi="Bookman Old Style"/>
        </w:rPr>
        <w:t>BESCOM has sold 726.43MU in IEX at an average rate of Rs.2.75/unit which has resulted in Rs.</w:t>
      </w:r>
      <w:r w:rsidR="005B4D30" w:rsidRPr="0017662C">
        <w:rPr>
          <w:rFonts w:ascii="Bookman Old Style" w:hAnsi="Bookman Old Style"/>
        </w:rPr>
        <w:t>200.41</w:t>
      </w:r>
      <w:r w:rsidRPr="0017662C">
        <w:rPr>
          <w:rFonts w:ascii="Bookman Old Style" w:hAnsi="Bookman Old Style"/>
        </w:rPr>
        <w:t xml:space="preserve"> Crs. The said amount is depicted in Other Income. </w:t>
      </w:r>
    </w:p>
    <w:p w:rsidR="00381ACE" w:rsidRPr="0017662C" w:rsidRDefault="00381ACE" w:rsidP="00652513">
      <w:pPr>
        <w:widowControl w:val="0"/>
        <w:numPr>
          <w:ilvl w:val="0"/>
          <w:numId w:val="13"/>
        </w:numPr>
        <w:tabs>
          <w:tab w:val="clear" w:pos="720"/>
        </w:tabs>
        <w:autoSpaceDE w:val="0"/>
        <w:autoSpaceDN w:val="0"/>
        <w:spacing w:after="0" w:line="360" w:lineRule="auto"/>
        <w:ind w:right="67"/>
        <w:jc w:val="both"/>
        <w:rPr>
          <w:rFonts w:ascii="Bookman Old Style" w:hAnsi="Bookman Old Style"/>
        </w:rPr>
      </w:pPr>
      <w:r w:rsidRPr="0017662C">
        <w:rPr>
          <w:rFonts w:ascii="Bookman Old Style" w:hAnsi="Bookman Old Style"/>
        </w:rPr>
        <w:t>The difference of approved and actual PGCIL charges amounts to Rs.800.7 Crs.</w:t>
      </w:r>
    </w:p>
    <w:p w:rsidR="00381ACE" w:rsidRPr="0017662C" w:rsidRDefault="00381ACE" w:rsidP="00652513">
      <w:pPr>
        <w:widowControl w:val="0"/>
        <w:numPr>
          <w:ilvl w:val="0"/>
          <w:numId w:val="13"/>
        </w:numPr>
        <w:tabs>
          <w:tab w:val="clear" w:pos="720"/>
        </w:tabs>
        <w:autoSpaceDE w:val="0"/>
        <w:autoSpaceDN w:val="0"/>
        <w:spacing w:after="0" w:line="360" w:lineRule="auto"/>
        <w:ind w:right="67"/>
        <w:jc w:val="both"/>
        <w:rPr>
          <w:rFonts w:ascii="Bookman Old Style" w:hAnsi="Bookman Old Style"/>
        </w:rPr>
      </w:pPr>
      <w:r w:rsidRPr="0017662C">
        <w:rPr>
          <w:rFonts w:ascii="Bookman Old Style" w:hAnsi="Bookman Old Style"/>
        </w:rPr>
        <w:t>BESCOM has paid nearly 462.56 Crores towards fixed cost without purchasing any power from thermal stations having higher variable cost.</w:t>
      </w:r>
    </w:p>
    <w:p w:rsidR="00381ACE" w:rsidRPr="0017662C" w:rsidRDefault="00381ACE" w:rsidP="00652513">
      <w:pPr>
        <w:widowControl w:val="0"/>
        <w:numPr>
          <w:ilvl w:val="0"/>
          <w:numId w:val="13"/>
        </w:numPr>
        <w:tabs>
          <w:tab w:val="clear" w:pos="720"/>
        </w:tabs>
        <w:autoSpaceDE w:val="0"/>
        <w:autoSpaceDN w:val="0"/>
        <w:spacing w:after="0" w:line="360" w:lineRule="auto"/>
        <w:ind w:right="67"/>
        <w:jc w:val="both"/>
        <w:rPr>
          <w:rFonts w:ascii="Bookman Old Style" w:hAnsi="Bookman Old Style"/>
        </w:rPr>
      </w:pPr>
      <w:r w:rsidRPr="0017662C">
        <w:rPr>
          <w:rFonts w:ascii="Bookman Old Style" w:hAnsi="Bookman Old Style"/>
        </w:rPr>
        <w:t>The actual NCE cost for FY-20 is more than the approved cost by Rs.</w:t>
      </w:r>
      <w:r w:rsidR="005B4D30" w:rsidRPr="0017662C">
        <w:rPr>
          <w:rFonts w:ascii="Bookman Old Style" w:hAnsi="Bookman Old Style"/>
        </w:rPr>
        <w:t>511.4</w:t>
      </w:r>
      <w:r w:rsidRPr="0017662C">
        <w:rPr>
          <w:rFonts w:ascii="Bookman Old Style" w:hAnsi="Bookman Old Style"/>
        </w:rPr>
        <w:t xml:space="preserve"> Crs.</w:t>
      </w:r>
    </w:p>
    <w:p w:rsidR="00381ACE" w:rsidRPr="0017662C" w:rsidRDefault="00381ACE" w:rsidP="00652513">
      <w:pPr>
        <w:widowControl w:val="0"/>
        <w:numPr>
          <w:ilvl w:val="0"/>
          <w:numId w:val="13"/>
        </w:numPr>
        <w:tabs>
          <w:tab w:val="clear" w:pos="720"/>
        </w:tabs>
        <w:autoSpaceDE w:val="0"/>
        <w:autoSpaceDN w:val="0"/>
        <w:spacing w:after="0" w:line="360" w:lineRule="auto"/>
        <w:ind w:right="67"/>
        <w:jc w:val="both"/>
        <w:rPr>
          <w:rFonts w:ascii="Bookman Old Style" w:hAnsi="Bookman Old Style"/>
        </w:rPr>
      </w:pPr>
      <w:r w:rsidRPr="0017662C">
        <w:rPr>
          <w:rFonts w:ascii="Bookman Old Style" w:hAnsi="Bookman Old Style"/>
        </w:rPr>
        <w:t>The actual CGS cost for FY-20 is more than the approved cost by Rs.516 Crs.</w:t>
      </w:r>
    </w:p>
    <w:p w:rsidR="00381ACE" w:rsidRPr="0017662C" w:rsidRDefault="00381ACE" w:rsidP="00652513">
      <w:pPr>
        <w:widowControl w:val="0"/>
        <w:numPr>
          <w:ilvl w:val="0"/>
          <w:numId w:val="13"/>
        </w:numPr>
        <w:tabs>
          <w:tab w:val="clear" w:pos="720"/>
        </w:tabs>
        <w:autoSpaceDE w:val="0"/>
        <w:autoSpaceDN w:val="0"/>
        <w:spacing w:after="0" w:line="360" w:lineRule="auto"/>
        <w:ind w:right="67"/>
        <w:jc w:val="both"/>
        <w:rPr>
          <w:rFonts w:ascii="Bookman Old Style" w:hAnsi="Bookman Old Style"/>
        </w:rPr>
      </w:pPr>
      <w:r w:rsidRPr="0017662C">
        <w:rPr>
          <w:rFonts w:ascii="Bookman Old Style" w:hAnsi="Bookman Old Style"/>
        </w:rPr>
        <w:t>The actual KPCL thermal cost for FY-20 is less than the approved cost by Rs.1186.2 Crs.</w:t>
      </w:r>
    </w:p>
    <w:p w:rsidR="00381ACE" w:rsidRPr="0017662C" w:rsidRDefault="00381ACE" w:rsidP="00717D3E">
      <w:pPr>
        <w:spacing w:line="360" w:lineRule="auto"/>
        <w:ind w:right="67"/>
        <w:jc w:val="both"/>
        <w:rPr>
          <w:rFonts w:ascii="Bookman Old Style" w:hAnsi="Bookman Old Style"/>
        </w:rPr>
      </w:pPr>
      <w:r w:rsidRPr="0017662C">
        <w:rPr>
          <w:rFonts w:ascii="Bookman Old Style" w:hAnsi="Bookman Old Style"/>
        </w:rPr>
        <w:t xml:space="preserve">Due to the above, the increase in the actual power purchase cost as against approved power purchase cost for </w:t>
      </w:r>
      <w:r w:rsidRPr="0017662C">
        <w:rPr>
          <w:rFonts w:ascii="Bookman Old Style" w:hAnsi="Bookman Old Style"/>
          <w:b/>
        </w:rPr>
        <w:t>BESCOM is Rs.</w:t>
      </w:r>
      <w:r w:rsidR="005B4D30" w:rsidRPr="0017662C">
        <w:rPr>
          <w:rFonts w:ascii="Bookman Old Style" w:hAnsi="Bookman Old Style"/>
          <w:b/>
        </w:rPr>
        <w:t>844.</w:t>
      </w:r>
      <w:r w:rsidR="000E1359">
        <w:rPr>
          <w:rFonts w:ascii="Bookman Old Style" w:hAnsi="Bookman Old Style"/>
          <w:b/>
        </w:rPr>
        <w:t>52</w:t>
      </w:r>
      <w:r w:rsidRPr="0017662C">
        <w:rPr>
          <w:rFonts w:ascii="Bookman Old Style" w:hAnsi="Bookman Old Style"/>
          <w:b/>
        </w:rPr>
        <w:t xml:space="preserve"> Crs. for FY-20.</w:t>
      </w:r>
      <w:r w:rsidRPr="0017662C">
        <w:rPr>
          <w:rFonts w:ascii="Bookman Old Style" w:hAnsi="Bookman Old Style"/>
        </w:rPr>
        <w:t xml:space="preserve"> </w:t>
      </w:r>
    </w:p>
    <w:p w:rsidR="00381ACE" w:rsidRPr="0017662C" w:rsidRDefault="00381ACE" w:rsidP="00717D3E">
      <w:pPr>
        <w:spacing w:line="360" w:lineRule="auto"/>
        <w:ind w:right="67"/>
        <w:jc w:val="both"/>
        <w:rPr>
          <w:rFonts w:ascii="Bookman Old Style" w:hAnsi="Bookman Old Style"/>
        </w:rPr>
      </w:pPr>
      <w:r w:rsidRPr="0017662C">
        <w:rPr>
          <w:rFonts w:ascii="Bookman Old Style" w:hAnsi="Bookman Old Style"/>
        </w:rPr>
        <w:t>BESCOM most respectfully submits that the above changes are beyond the reasonable control of BESCOM but well within the regulatory provisions for consideration in true up. Hon’ble Commission in its MYT Order has stated that, since the power purchase cost are uncontrollable as per MYT regulations, any excess quantum or cost will be trued up in the Annual Performance Review of the respective years. Hence, BESCOM requests the Hon’ble Commission to approve the power purchase expenses for FY-20 as per the Audited Accounts.</w:t>
      </w:r>
    </w:p>
    <w:p w:rsidR="00381ACE" w:rsidRPr="00D1177B" w:rsidRDefault="00381ACE" w:rsidP="00717D3E">
      <w:pPr>
        <w:spacing w:line="360" w:lineRule="auto"/>
        <w:ind w:right="67"/>
        <w:jc w:val="both"/>
        <w:rPr>
          <w:rFonts w:ascii="Bookman Old Style" w:eastAsiaTheme="minorEastAsia" w:hAnsi="Bookman Old Style" w:cs="Arial"/>
          <w:b/>
          <w:sz w:val="24"/>
        </w:rPr>
      </w:pPr>
      <w:r w:rsidRPr="00D1177B">
        <w:rPr>
          <w:rFonts w:ascii="Bookman Old Style" w:eastAsiaTheme="minorEastAsia" w:hAnsi="Bookman Old Style" w:cs="Arial"/>
          <w:b/>
          <w:sz w:val="24"/>
        </w:rPr>
        <w:t>Renewable Purchase Obligation (RPO) target for FY</w:t>
      </w:r>
      <w:r w:rsidR="00D1177B">
        <w:rPr>
          <w:rFonts w:ascii="Bookman Old Style" w:eastAsiaTheme="minorEastAsia" w:hAnsi="Bookman Old Style" w:cs="Arial"/>
          <w:b/>
          <w:sz w:val="24"/>
        </w:rPr>
        <w:t>-</w:t>
      </w:r>
      <w:r w:rsidRPr="00D1177B">
        <w:rPr>
          <w:rFonts w:ascii="Bookman Old Style" w:eastAsiaTheme="minorEastAsia" w:hAnsi="Bookman Old Style" w:cs="Arial"/>
          <w:b/>
          <w:sz w:val="24"/>
        </w:rPr>
        <w:t xml:space="preserve">20: </w:t>
      </w:r>
    </w:p>
    <w:p w:rsidR="00381ACE" w:rsidRPr="0017662C" w:rsidRDefault="00381ACE" w:rsidP="00717D3E">
      <w:pPr>
        <w:spacing w:line="360" w:lineRule="auto"/>
        <w:ind w:right="67"/>
        <w:jc w:val="both"/>
        <w:rPr>
          <w:rFonts w:ascii="Bookman Old Style" w:eastAsiaTheme="minorEastAsia" w:hAnsi="Bookman Old Style" w:cs="Arial"/>
        </w:rPr>
      </w:pPr>
      <w:r w:rsidRPr="0017662C">
        <w:rPr>
          <w:rFonts w:ascii="Bookman Old Style" w:eastAsiaTheme="minorEastAsia" w:hAnsi="Bookman Old Style" w:cs="Arial"/>
        </w:rPr>
        <w:t>As per KERC (Procurement of Energy from Renewable Sources)(Sixth Amendment) Regulations, 2018, target for FY-20 for Non-Solar RPO is 12% of the total power procurement and target for Solar RPO is 7.25% of the total power procurement.</w:t>
      </w:r>
    </w:p>
    <w:p w:rsidR="00381ACE" w:rsidRPr="0017662C" w:rsidRDefault="00381ACE" w:rsidP="00717D3E">
      <w:pPr>
        <w:spacing w:line="360" w:lineRule="auto"/>
        <w:ind w:right="67"/>
        <w:jc w:val="both"/>
        <w:rPr>
          <w:rFonts w:ascii="Bookman Old Style" w:eastAsiaTheme="minorEastAsia" w:hAnsi="Bookman Old Style" w:cs="Arial"/>
        </w:rPr>
      </w:pPr>
      <w:r w:rsidRPr="0017662C">
        <w:rPr>
          <w:rFonts w:ascii="Bookman Old Style" w:eastAsiaTheme="minorEastAsia" w:hAnsi="Bookman Old Style" w:cs="Arial"/>
        </w:rPr>
        <w:t>The Commission approved the power procurement of 33960.827 MU which includes 6794.62 MU of energy from NCE sources for FY 20 to BESCOM. The actual percentage of Non Solar to the total purchase is 13.18 % and solar energy works out to 15.25% of the actual power purchase. Details are as under.</w:t>
      </w:r>
    </w:p>
    <w:p w:rsidR="00D1177B" w:rsidRDefault="00D1177B" w:rsidP="00092826">
      <w:pPr>
        <w:spacing w:line="360" w:lineRule="auto"/>
        <w:ind w:right="67"/>
        <w:jc w:val="center"/>
        <w:rPr>
          <w:rFonts w:ascii="Bookman Old Style" w:hAnsi="Bookman Old Style" w:cs="Calibri"/>
          <w:b/>
          <w:bCs/>
          <w:sz w:val="18"/>
          <w:lang w:eastAsia="en-IN"/>
        </w:rPr>
      </w:pPr>
    </w:p>
    <w:p w:rsidR="00D1177B" w:rsidRDefault="00D1177B" w:rsidP="00092826">
      <w:pPr>
        <w:spacing w:line="360" w:lineRule="auto"/>
        <w:ind w:right="67"/>
        <w:jc w:val="center"/>
        <w:rPr>
          <w:rFonts w:ascii="Bookman Old Style" w:hAnsi="Bookman Old Style" w:cs="Calibri"/>
          <w:b/>
          <w:bCs/>
          <w:sz w:val="18"/>
          <w:lang w:eastAsia="en-IN"/>
        </w:rPr>
      </w:pPr>
    </w:p>
    <w:p w:rsidR="00092826" w:rsidRPr="0017662C" w:rsidRDefault="00092826" w:rsidP="00092826">
      <w:pPr>
        <w:spacing w:line="360" w:lineRule="auto"/>
        <w:ind w:right="67"/>
        <w:jc w:val="center"/>
        <w:rPr>
          <w:rFonts w:ascii="Bookman Old Style" w:hAnsi="Bookman Old Style" w:cs="Calibri"/>
          <w:b/>
          <w:bCs/>
          <w:sz w:val="18"/>
          <w:lang w:eastAsia="en-IN"/>
        </w:rPr>
      </w:pPr>
      <w:r w:rsidRPr="0017662C">
        <w:rPr>
          <w:rFonts w:ascii="Bookman Old Style" w:hAnsi="Bookman Old Style" w:cs="Calibri"/>
          <w:b/>
          <w:bCs/>
          <w:sz w:val="18"/>
          <w:lang w:eastAsia="en-IN"/>
        </w:rPr>
        <w:lastRenderedPageBreak/>
        <w:t>Table 3.1</w:t>
      </w:r>
      <w:r w:rsidR="00BD7749" w:rsidRPr="0017662C">
        <w:rPr>
          <w:rFonts w:ascii="Bookman Old Style" w:hAnsi="Bookman Old Style" w:cs="Calibri"/>
          <w:b/>
          <w:bCs/>
          <w:sz w:val="18"/>
          <w:lang w:eastAsia="en-IN"/>
        </w:rPr>
        <w:t>7</w:t>
      </w:r>
    </w:p>
    <w:tbl>
      <w:tblPr>
        <w:tblW w:w="8926" w:type="dxa"/>
        <w:jc w:val="center"/>
        <w:tblLook w:val="04A0" w:firstRow="1" w:lastRow="0" w:firstColumn="1" w:lastColumn="0" w:noHBand="0" w:noVBand="1"/>
      </w:tblPr>
      <w:tblGrid>
        <w:gridCol w:w="5420"/>
        <w:gridCol w:w="1565"/>
        <w:gridCol w:w="1941"/>
      </w:tblGrid>
      <w:tr w:rsidR="0017662C" w:rsidRPr="0017662C" w:rsidTr="00652513">
        <w:trPr>
          <w:trHeight w:val="315"/>
          <w:jc w:val="center"/>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ACE" w:rsidRPr="0017662C" w:rsidRDefault="00381ACE" w:rsidP="00717D3E">
            <w:pPr>
              <w:spacing w:after="0" w:line="240" w:lineRule="auto"/>
              <w:ind w:right="67"/>
              <w:rPr>
                <w:rFonts w:ascii="Bookman Old Style" w:hAnsi="Bookman Old Style" w:cs="Calibri"/>
                <w:b/>
                <w:bCs/>
                <w:szCs w:val="24"/>
                <w:lang w:eastAsia="en-IN"/>
              </w:rPr>
            </w:pPr>
            <w:r w:rsidRPr="0017662C">
              <w:rPr>
                <w:rFonts w:ascii="Bookman Old Style" w:hAnsi="Bookman Old Style" w:cs="Calibri"/>
                <w:b/>
                <w:bCs/>
                <w:szCs w:val="24"/>
                <w:lang w:eastAsia="en-IN"/>
              </w:rPr>
              <w:t>RPO COMPLIANCE  FOR</w:t>
            </w:r>
          </w:p>
        </w:tc>
        <w:tc>
          <w:tcPr>
            <w:tcW w:w="3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b/>
                <w:bCs/>
                <w:szCs w:val="24"/>
                <w:lang w:eastAsia="en-IN"/>
              </w:rPr>
            </w:pPr>
            <w:r w:rsidRPr="0017662C">
              <w:rPr>
                <w:rFonts w:ascii="Bookman Old Style" w:hAnsi="Bookman Old Style" w:cs="Calibri"/>
                <w:b/>
                <w:bCs/>
                <w:szCs w:val="24"/>
                <w:lang w:eastAsia="en-IN"/>
              </w:rPr>
              <w:t>2019-20</w:t>
            </w:r>
          </w:p>
        </w:tc>
      </w:tr>
      <w:tr w:rsidR="0017662C" w:rsidRPr="0017662C" w:rsidTr="00652513">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381ACE" w:rsidRPr="0017662C" w:rsidRDefault="00381ACE" w:rsidP="00717D3E">
            <w:pPr>
              <w:spacing w:after="0" w:line="240" w:lineRule="auto"/>
              <w:ind w:right="67"/>
              <w:rPr>
                <w:rFonts w:ascii="Bookman Old Style" w:hAnsi="Bookman Old Style" w:cs="Calibri"/>
                <w:szCs w:val="24"/>
                <w:lang w:eastAsia="en-IN"/>
              </w:rPr>
            </w:pPr>
            <w:r w:rsidRPr="0017662C">
              <w:rPr>
                <w:rFonts w:ascii="Bookman Old Style" w:hAnsi="Bookman Old Style" w:cs="Calibri"/>
                <w:szCs w:val="24"/>
                <w:lang w:eastAsia="en-IN"/>
              </w:rPr>
              <w:t xml:space="preserve">BESCOM Energy at Generation Point </w:t>
            </w:r>
          </w:p>
        </w:tc>
        <w:tc>
          <w:tcPr>
            <w:tcW w:w="3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lang w:eastAsia="en-IN"/>
              </w:rPr>
            </w:pPr>
            <w:r w:rsidRPr="0017662C">
              <w:rPr>
                <w:rFonts w:ascii="Bookman Old Style" w:hAnsi="Bookman Old Style" w:cs="Calibri"/>
                <w:lang w:eastAsia="en-IN"/>
              </w:rPr>
              <w:t>32392.69</w:t>
            </w:r>
          </w:p>
        </w:tc>
      </w:tr>
      <w:tr w:rsidR="0017662C" w:rsidRPr="0017662C" w:rsidTr="00652513">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381ACE" w:rsidRPr="0017662C" w:rsidRDefault="00381ACE" w:rsidP="00717D3E">
            <w:pPr>
              <w:spacing w:after="0" w:line="240" w:lineRule="auto"/>
              <w:ind w:right="67"/>
              <w:rPr>
                <w:rFonts w:ascii="Bookman Old Style" w:hAnsi="Bookman Old Style" w:cs="Calibri"/>
                <w:szCs w:val="24"/>
                <w:lang w:eastAsia="en-IN"/>
              </w:rPr>
            </w:pPr>
            <w:r w:rsidRPr="0017662C">
              <w:rPr>
                <w:rFonts w:ascii="Bookman Old Style" w:hAnsi="Bookman Old Style" w:cs="Calibri"/>
                <w:szCs w:val="24"/>
                <w:lang w:eastAsia="en-IN"/>
              </w:rPr>
              <w:t>Less: KPCL Hydro</w:t>
            </w:r>
          </w:p>
        </w:tc>
        <w:tc>
          <w:tcPr>
            <w:tcW w:w="3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lang w:eastAsia="en-IN"/>
              </w:rPr>
            </w:pPr>
            <w:r w:rsidRPr="0017662C">
              <w:rPr>
                <w:rFonts w:ascii="Bookman Old Style" w:hAnsi="Bookman Old Style" w:cs="Calibri"/>
                <w:lang w:eastAsia="en-IN"/>
              </w:rPr>
              <w:t>995.93</w:t>
            </w:r>
          </w:p>
        </w:tc>
      </w:tr>
      <w:tr w:rsidR="0017662C" w:rsidRPr="0017662C" w:rsidTr="00652513">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381ACE" w:rsidRPr="0017662C" w:rsidRDefault="00381ACE" w:rsidP="00717D3E">
            <w:pPr>
              <w:spacing w:after="0" w:line="240" w:lineRule="auto"/>
              <w:ind w:right="67"/>
              <w:rPr>
                <w:rFonts w:ascii="Bookman Old Style" w:hAnsi="Bookman Old Style" w:cs="Calibri"/>
                <w:szCs w:val="24"/>
                <w:lang w:eastAsia="en-IN"/>
              </w:rPr>
            </w:pPr>
            <w:r w:rsidRPr="0017662C">
              <w:rPr>
                <w:rFonts w:ascii="Bookman Old Style" w:hAnsi="Bookman Old Style" w:cs="Calibri"/>
                <w:szCs w:val="24"/>
                <w:lang w:eastAsia="en-IN"/>
              </w:rPr>
              <w:t>Less: Jurala+TBPH</w:t>
            </w:r>
          </w:p>
        </w:tc>
        <w:tc>
          <w:tcPr>
            <w:tcW w:w="3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lang w:eastAsia="en-IN"/>
              </w:rPr>
            </w:pPr>
            <w:r w:rsidRPr="0017662C">
              <w:rPr>
                <w:rFonts w:ascii="Bookman Old Style" w:hAnsi="Bookman Old Style" w:cs="Calibri"/>
                <w:lang w:eastAsia="en-IN"/>
              </w:rPr>
              <w:t>101.42</w:t>
            </w:r>
          </w:p>
        </w:tc>
      </w:tr>
      <w:tr w:rsidR="0017662C" w:rsidRPr="0017662C" w:rsidTr="00652513">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381ACE" w:rsidRPr="0017662C" w:rsidRDefault="00381ACE" w:rsidP="00717D3E">
            <w:pPr>
              <w:spacing w:after="0" w:line="240" w:lineRule="auto"/>
              <w:ind w:right="67"/>
              <w:rPr>
                <w:rFonts w:ascii="Bookman Old Style" w:hAnsi="Bookman Old Style" w:cs="Calibri"/>
                <w:szCs w:val="24"/>
                <w:lang w:eastAsia="en-IN"/>
              </w:rPr>
            </w:pPr>
            <w:r w:rsidRPr="0017662C">
              <w:rPr>
                <w:rFonts w:ascii="Bookman Old Style" w:hAnsi="Bookman Old Style" w:cs="Calibri"/>
                <w:szCs w:val="24"/>
                <w:lang w:eastAsia="en-IN"/>
              </w:rPr>
              <w:t xml:space="preserve">Less: Energy Balancing </w:t>
            </w:r>
          </w:p>
        </w:tc>
        <w:tc>
          <w:tcPr>
            <w:tcW w:w="3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lang w:eastAsia="en-IN"/>
              </w:rPr>
            </w:pPr>
            <w:r w:rsidRPr="0017662C">
              <w:rPr>
                <w:rFonts w:ascii="Bookman Old Style" w:hAnsi="Bookman Old Style" w:cs="Calibri"/>
                <w:lang w:eastAsia="en-IN"/>
              </w:rPr>
              <w:t>257.63</w:t>
            </w:r>
          </w:p>
        </w:tc>
      </w:tr>
      <w:tr w:rsidR="0017662C" w:rsidRPr="0017662C" w:rsidTr="00652513">
        <w:trPr>
          <w:trHeight w:val="315"/>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381ACE" w:rsidRPr="0017662C" w:rsidRDefault="00381ACE" w:rsidP="00717D3E">
            <w:pPr>
              <w:spacing w:after="0" w:line="240" w:lineRule="auto"/>
              <w:ind w:right="67"/>
              <w:rPr>
                <w:rFonts w:ascii="Bookman Old Style" w:hAnsi="Bookman Old Style" w:cs="Calibri"/>
                <w:b/>
                <w:bCs/>
                <w:szCs w:val="24"/>
                <w:lang w:eastAsia="en-IN"/>
              </w:rPr>
            </w:pPr>
            <w:r w:rsidRPr="0017662C">
              <w:rPr>
                <w:rFonts w:ascii="Bookman Old Style" w:hAnsi="Bookman Old Style" w:cs="Calibri"/>
                <w:b/>
                <w:bCs/>
                <w:szCs w:val="24"/>
                <w:lang w:eastAsia="en-IN"/>
              </w:rPr>
              <w:t>Net Energy for calculation of RPO</w:t>
            </w:r>
          </w:p>
        </w:tc>
        <w:tc>
          <w:tcPr>
            <w:tcW w:w="3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b/>
                <w:bCs/>
                <w:lang w:eastAsia="en-IN"/>
              </w:rPr>
            </w:pPr>
            <w:r w:rsidRPr="0017662C">
              <w:rPr>
                <w:rFonts w:ascii="Bookman Old Style" w:hAnsi="Bookman Old Style" w:cs="Calibri"/>
                <w:b/>
                <w:bCs/>
                <w:lang w:eastAsia="en-IN"/>
              </w:rPr>
              <w:t>31037.71</w:t>
            </w:r>
          </w:p>
        </w:tc>
      </w:tr>
      <w:tr w:rsidR="0017662C" w:rsidRPr="0017662C" w:rsidTr="00652513">
        <w:trPr>
          <w:trHeight w:val="293"/>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381ACE" w:rsidRPr="0017662C" w:rsidRDefault="00381ACE" w:rsidP="00717D3E">
            <w:pPr>
              <w:spacing w:after="0" w:line="240" w:lineRule="auto"/>
              <w:ind w:right="67"/>
              <w:rPr>
                <w:rFonts w:ascii="Bookman Old Style" w:hAnsi="Bookman Old Style" w:cs="Calibri"/>
                <w:szCs w:val="24"/>
                <w:lang w:eastAsia="en-IN"/>
              </w:rPr>
            </w:pPr>
            <w:r w:rsidRPr="0017662C">
              <w:rPr>
                <w:rFonts w:ascii="Bookman Old Style" w:hAnsi="Bookman Old Style" w:cs="Calibri"/>
                <w:szCs w:val="24"/>
                <w:lang w:eastAsia="en-IN"/>
              </w:rPr>
              <w:t> </w:t>
            </w:r>
          </w:p>
        </w:tc>
        <w:tc>
          <w:tcPr>
            <w:tcW w:w="1565" w:type="dxa"/>
            <w:tcBorders>
              <w:top w:val="nil"/>
              <w:left w:val="nil"/>
              <w:bottom w:val="single" w:sz="4" w:space="0" w:color="auto"/>
              <w:right w:val="single" w:sz="4" w:space="0" w:color="auto"/>
            </w:tcBorders>
            <w:shd w:val="clear" w:color="auto" w:fill="auto"/>
            <w:noWrap/>
            <w:vAlign w:val="center"/>
            <w:hideMark/>
          </w:tcPr>
          <w:p w:rsidR="00381ACE" w:rsidRPr="0017662C" w:rsidRDefault="00381ACE" w:rsidP="00C94625">
            <w:pPr>
              <w:spacing w:after="0" w:line="240" w:lineRule="auto"/>
              <w:ind w:right="67"/>
              <w:jc w:val="right"/>
              <w:rPr>
                <w:rFonts w:ascii="Bookman Old Style" w:hAnsi="Bookman Old Style" w:cs="Calibri"/>
                <w:b/>
                <w:bCs/>
                <w:szCs w:val="24"/>
                <w:lang w:eastAsia="en-IN"/>
              </w:rPr>
            </w:pPr>
            <w:r w:rsidRPr="0017662C">
              <w:rPr>
                <w:rFonts w:ascii="Bookman Old Style" w:hAnsi="Bookman Old Style" w:cs="Calibri"/>
                <w:b/>
                <w:bCs/>
                <w:szCs w:val="24"/>
                <w:lang w:eastAsia="en-IN"/>
              </w:rPr>
              <w:t>Solar RPO</w:t>
            </w:r>
          </w:p>
        </w:tc>
        <w:tc>
          <w:tcPr>
            <w:tcW w:w="1941" w:type="dxa"/>
            <w:tcBorders>
              <w:top w:val="nil"/>
              <w:left w:val="nil"/>
              <w:bottom w:val="single" w:sz="4" w:space="0" w:color="auto"/>
              <w:right w:val="single" w:sz="4" w:space="0" w:color="auto"/>
            </w:tcBorders>
            <w:shd w:val="clear" w:color="auto" w:fill="auto"/>
            <w:vAlign w:val="center"/>
            <w:hideMark/>
          </w:tcPr>
          <w:p w:rsidR="00381ACE" w:rsidRPr="0017662C" w:rsidRDefault="00381ACE" w:rsidP="002704BA">
            <w:pPr>
              <w:spacing w:after="0" w:line="240" w:lineRule="auto"/>
              <w:ind w:right="67"/>
              <w:jc w:val="center"/>
              <w:rPr>
                <w:rFonts w:ascii="Bookman Old Style" w:hAnsi="Bookman Old Style" w:cs="Calibri"/>
                <w:b/>
                <w:bCs/>
                <w:szCs w:val="24"/>
                <w:lang w:eastAsia="en-IN"/>
              </w:rPr>
            </w:pPr>
            <w:r w:rsidRPr="0017662C">
              <w:rPr>
                <w:rFonts w:ascii="Bookman Old Style" w:hAnsi="Bookman Old Style" w:cs="Calibri"/>
                <w:b/>
                <w:bCs/>
                <w:szCs w:val="24"/>
                <w:lang w:eastAsia="en-IN"/>
              </w:rPr>
              <w:t>Non Solar RPO</w:t>
            </w:r>
          </w:p>
        </w:tc>
      </w:tr>
      <w:tr w:rsidR="0017662C" w:rsidRPr="0017662C" w:rsidTr="00652513">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381ACE" w:rsidRPr="0017662C" w:rsidRDefault="00381ACE" w:rsidP="00717D3E">
            <w:pPr>
              <w:spacing w:after="0" w:line="240" w:lineRule="auto"/>
              <w:ind w:right="67"/>
              <w:rPr>
                <w:rFonts w:ascii="Bookman Old Style" w:hAnsi="Bookman Old Style" w:cs="Calibri"/>
                <w:szCs w:val="24"/>
                <w:lang w:eastAsia="en-IN"/>
              </w:rPr>
            </w:pPr>
            <w:r w:rsidRPr="0017662C">
              <w:rPr>
                <w:rFonts w:ascii="Bookman Old Style" w:hAnsi="Bookman Old Style" w:cs="Calibri"/>
                <w:szCs w:val="24"/>
                <w:lang w:eastAsia="en-IN"/>
              </w:rPr>
              <w:t> </w:t>
            </w:r>
          </w:p>
        </w:tc>
        <w:tc>
          <w:tcPr>
            <w:tcW w:w="1565" w:type="dxa"/>
            <w:tcBorders>
              <w:top w:val="nil"/>
              <w:left w:val="nil"/>
              <w:bottom w:val="single" w:sz="4" w:space="0" w:color="auto"/>
              <w:right w:val="single" w:sz="4" w:space="0" w:color="auto"/>
            </w:tcBorders>
            <w:shd w:val="clear" w:color="auto" w:fill="auto"/>
            <w:noWrap/>
            <w:vAlign w:val="center"/>
            <w:hideMark/>
          </w:tcPr>
          <w:p w:rsidR="00381ACE" w:rsidRPr="0017662C" w:rsidRDefault="00381ACE" w:rsidP="00C94625">
            <w:pPr>
              <w:spacing w:after="0" w:line="240" w:lineRule="auto"/>
              <w:ind w:right="67"/>
              <w:jc w:val="right"/>
              <w:rPr>
                <w:rFonts w:ascii="Bookman Old Style" w:hAnsi="Bookman Old Style" w:cs="Calibri"/>
                <w:szCs w:val="24"/>
                <w:lang w:eastAsia="en-IN"/>
              </w:rPr>
            </w:pPr>
            <w:r w:rsidRPr="0017662C">
              <w:rPr>
                <w:rFonts w:ascii="Bookman Old Style" w:hAnsi="Bookman Old Style" w:cs="Calibri"/>
                <w:szCs w:val="24"/>
                <w:lang w:eastAsia="en-IN"/>
              </w:rPr>
              <w:t>31037.71</w:t>
            </w:r>
          </w:p>
        </w:tc>
        <w:tc>
          <w:tcPr>
            <w:tcW w:w="1941" w:type="dxa"/>
            <w:tcBorders>
              <w:top w:val="nil"/>
              <w:left w:val="nil"/>
              <w:bottom w:val="single" w:sz="4" w:space="0" w:color="auto"/>
              <w:right w:val="single" w:sz="4" w:space="0" w:color="auto"/>
            </w:tcBorders>
            <w:shd w:val="clear" w:color="auto" w:fill="auto"/>
            <w:noWrap/>
            <w:vAlign w:val="center"/>
            <w:hideMark/>
          </w:tcPr>
          <w:p w:rsidR="00381ACE" w:rsidRPr="0017662C" w:rsidRDefault="00381ACE" w:rsidP="00C94625">
            <w:pPr>
              <w:spacing w:after="0" w:line="240" w:lineRule="auto"/>
              <w:ind w:right="67"/>
              <w:jc w:val="right"/>
              <w:rPr>
                <w:rFonts w:ascii="Bookman Old Style" w:hAnsi="Bookman Old Style" w:cs="Calibri"/>
                <w:szCs w:val="24"/>
                <w:lang w:eastAsia="en-IN"/>
              </w:rPr>
            </w:pPr>
            <w:r w:rsidRPr="0017662C">
              <w:rPr>
                <w:rFonts w:ascii="Bookman Old Style" w:hAnsi="Bookman Old Style" w:cs="Calibri"/>
                <w:szCs w:val="24"/>
                <w:lang w:eastAsia="en-IN"/>
              </w:rPr>
              <w:t>31037.71</w:t>
            </w:r>
          </w:p>
        </w:tc>
      </w:tr>
      <w:tr w:rsidR="0017662C" w:rsidRPr="0017662C" w:rsidTr="00652513">
        <w:trPr>
          <w:trHeight w:val="373"/>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381ACE" w:rsidRPr="0017662C" w:rsidRDefault="00381ACE" w:rsidP="00717D3E">
            <w:pPr>
              <w:spacing w:after="0" w:line="240" w:lineRule="auto"/>
              <w:ind w:right="67"/>
              <w:rPr>
                <w:rFonts w:ascii="Bookman Old Style" w:hAnsi="Bookman Old Style" w:cs="Calibri"/>
                <w:szCs w:val="24"/>
                <w:lang w:eastAsia="en-IN"/>
              </w:rPr>
            </w:pPr>
            <w:r w:rsidRPr="0017662C">
              <w:rPr>
                <w:rFonts w:ascii="Bookman Old Style" w:hAnsi="Bookman Old Style" w:cs="Calibri"/>
                <w:szCs w:val="24"/>
                <w:lang w:eastAsia="en-IN"/>
              </w:rPr>
              <w:t>Target @ 7.25% for Solar  &amp; 12% for  Non Solar</w:t>
            </w:r>
          </w:p>
        </w:tc>
        <w:tc>
          <w:tcPr>
            <w:tcW w:w="1565"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lang w:eastAsia="en-IN"/>
              </w:rPr>
            </w:pPr>
            <w:r w:rsidRPr="0017662C">
              <w:rPr>
                <w:rFonts w:ascii="Bookman Old Style" w:hAnsi="Bookman Old Style" w:cs="Calibri"/>
                <w:lang w:eastAsia="en-IN"/>
              </w:rPr>
              <w:t>2250.23</w:t>
            </w:r>
          </w:p>
        </w:tc>
        <w:tc>
          <w:tcPr>
            <w:tcW w:w="1941"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lang w:eastAsia="en-IN"/>
              </w:rPr>
            </w:pPr>
            <w:r w:rsidRPr="0017662C">
              <w:rPr>
                <w:rFonts w:ascii="Bookman Old Style" w:hAnsi="Bookman Old Style" w:cs="Calibri"/>
                <w:lang w:eastAsia="en-IN"/>
              </w:rPr>
              <w:t>3724.53</w:t>
            </w:r>
          </w:p>
        </w:tc>
      </w:tr>
      <w:tr w:rsidR="0017662C" w:rsidRPr="0017662C" w:rsidTr="00652513">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381ACE" w:rsidRPr="0017662C" w:rsidRDefault="00381ACE" w:rsidP="00717D3E">
            <w:pPr>
              <w:spacing w:after="0" w:line="240" w:lineRule="auto"/>
              <w:ind w:right="67"/>
              <w:rPr>
                <w:rFonts w:ascii="Bookman Old Style" w:hAnsi="Bookman Old Style" w:cs="Calibri"/>
                <w:szCs w:val="24"/>
                <w:lang w:eastAsia="en-IN"/>
              </w:rPr>
            </w:pPr>
            <w:r w:rsidRPr="0017662C">
              <w:rPr>
                <w:rFonts w:ascii="Bookman Old Style" w:hAnsi="Bookman Old Style" w:cs="Calibri"/>
                <w:szCs w:val="24"/>
                <w:lang w:eastAsia="en-IN"/>
              </w:rPr>
              <w:t xml:space="preserve">Total RPO to be achieved </w:t>
            </w:r>
          </w:p>
        </w:tc>
        <w:tc>
          <w:tcPr>
            <w:tcW w:w="1565"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lang w:eastAsia="en-IN"/>
              </w:rPr>
            </w:pPr>
            <w:r w:rsidRPr="0017662C">
              <w:rPr>
                <w:rFonts w:ascii="Bookman Old Style" w:hAnsi="Bookman Old Style" w:cs="Calibri"/>
                <w:lang w:eastAsia="en-IN"/>
              </w:rPr>
              <w:t>2250.23</w:t>
            </w:r>
          </w:p>
        </w:tc>
        <w:tc>
          <w:tcPr>
            <w:tcW w:w="1941"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lang w:eastAsia="en-IN"/>
              </w:rPr>
            </w:pPr>
            <w:r w:rsidRPr="0017662C">
              <w:rPr>
                <w:rFonts w:ascii="Bookman Old Style" w:hAnsi="Bookman Old Style" w:cs="Calibri"/>
                <w:lang w:eastAsia="en-IN"/>
              </w:rPr>
              <w:t>3724.53</w:t>
            </w:r>
          </w:p>
        </w:tc>
      </w:tr>
      <w:tr w:rsidR="0017662C" w:rsidRPr="0017662C" w:rsidTr="00652513">
        <w:trPr>
          <w:trHeight w:val="70"/>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381ACE" w:rsidRPr="0017662C" w:rsidRDefault="00381ACE" w:rsidP="00717D3E">
            <w:pPr>
              <w:spacing w:after="0" w:line="240" w:lineRule="auto"/>
              <w:ind w:right="67"/>
              <w:rPr>
                <w:rFonts w:ascii="Bookman Old Style" w:hAnsi="Bookman Old Style" w:cs="Calibri"/>
                <w:szCs w:val="24"/>
                <w:lang w:eastAsia="en-IN"/>
              </w:rPr>
            </w:pPr>
            <w:r w:rsidRPr="0017662C">
              <w:rPr>
                <w:rFonts w:ascii="Bookman Old Style" w:hAnsi="Bookman Old Style" w:cs="Calibri"/>
                <w:szCs w:val="24"/>
                <w:lang w:eastAsia="en-IN"/>
              </w:rPr>
              <w:t> </w:t>
            </w:r>
          </w:p>
        </w:tc>
        <w:tc>
          <w:tcPr>
            <w:tcW w:w="1565"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szCs w:val="24"/>
                <w:lang w:eastAsia="en-IN"/>
              </w:rPr>
            </w:pPr>
            <w:r w:rsidRPr="0017662C">
              <w:rPr>
                <w:rFonts w:ascii="Bookman Old Style" w:hAnsi="Bookman Old Style" w:cs="Calibri"/>
                <w:szCs w:val="24"/>
                <w:lang w:eastAsia="en-IN"/>
              </w:rPr>
              <w:t> </w:t>
            </w:r>
          </w:p>
        </w:tc>
        <w:tc>
          <w:tcPr>
            <w:tcW w:w="1941"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szCs w:val="24"/>
                <w:lang w:eastAsia="en-IN"/>
              </w:rPr>
            </w:pPr>
            <w:r w:rsidRPr="0017662C">
              <w:rPr>
                <w:rFonts w:ascii="Bookman Old Style" w:hAnsi="Bookman Old Style" w:cs="Calibri"/>
                <w:szCs w:val="24"/>
                <w:lang w:eastAsia="en-IN"/>
              </w:rPr>
              <w:t> </w:t>
            </w:r>
          </w:p>
        </w:tc>
      </w:tr>
      <w:tr w:rsidR="0017662C" w:rsidRPr="0017662C" w:rsidTr="00652513">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381ACE" w:rsidRPr="0017662C" w:rsidRDefault="00381ACE" w:rsidP="00717D3E">
            <w:pPr>
              <w:spacing w:after="0" w:line="240" w:lineRule="auto"/>
              <w:ind w:right="67"/>
              <w:rPr>
                <w:rFonts w:ascii="Bookman Old Style" w:hAnsi="Bookman Old Style" w:cs="Calibri"/>
                <w:szCs w:val="24"/>
                <w:lang w:eastAsia="en-IN"/>
              </w:rPr>
            </w:pPr>
            <w:r w:rsidRPr="0017662C">
              <w:rPr>
                <w:rFonts w:ascii="Bookman Old Style" w:hAnsi="Bookman Old Style" w:cs="Calibri"/>
                <w:szCs w:val="24"/>
                <w:lang w:eastAsia="en-IN"/>
              </w:rPr>
              <w:t>Actual Energy Procured</w:t>
            </w:r>
          </w:p>
        </w:tc>
        <w:tc>
          <w:tcPr>
            <w:tcW w:w="1565"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szCs w:val="24"/>
                <w:lang w:eastAsia="en-IN"/>
              </w:rPr>
            </w:pPr>
            <w:r w:rsidRPr="0017662C">
              <w:rPr>
                <w:rFonts w:ascii="Bookman Old Style" w:hAnsi="Bookman Old Style" w:cs="Calibri"/>
                <w:szCs w:val="24"/>
                <w:lang w:eastAsia="en-IN"/>
              </w:rPr>
              <w:t>4732.45</w:t>
            </w:r>
          </w:p>
        </w:tc>
        <w:tc>
          <w:tcPr>
            <w:tcW w:w="1941"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szCs w:val="24"/>
                <w:lang w:eastAsia="en-IN"/>
              </w:rPr>
            </w:pPr>
            <w:r w:rsidRPr="0017662C">
              <w:rPr>
                <w:rFonts w:ascii="Bookman Old Style" w:hAnsi="Bookman Old Style" w:cs="Calibri"/>
                <w:szCs w:val="24"/>
                <w:lang w:eastAsia="en-IN"/>
              </w:rPr>
              <w:t>4092.18</w:t>
            </w:r>
          </w:p>
        </w:tc>
      </w:tr>
      <w:tr w:rsidR="0017662C" w:rsidRPr="0017662C" w:rsidTr="00652513">
        <w:trPr>
          <w:trHeight w:val="300"/>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381ACE" w:rsidRPr="0017662C" w:rsidRDefault="00381ACE" w:rsidP="00717D3E">
            <w:pPr>
              <w:spacing w:after="0" w:line="240" w:lineRule="auto"/>
              <w:ind w:right="67"/>
              <w:rPr>
                <w:rFonts w:ascii="Bookman Old Style" w:hAnsi="Bookman Old Style" w:cs="Calibri"/>
                <w:szCs w:val="24"/>
                <w:lang w:eastAsia="en-IN"/>
              </w:rPr>
            </w:pPr>
            <w:r w:rsidRPr="0017662C">
              <w:rPr>
                <w:rFonts w:ascii="Bookman Old Style" w:hAnsi="Bookman Old Style" w:cs="Calibri"/>
                <w:szCs w:val="24"/>
                <w:lang w:eastAsia="en-IN"/>
              </w:rPr>
              <w:t>Total Energy Procured</w:t>
            </w:r>
          </w:p>
        </w:tc>
        <w:tc>
          <w:tcPr>
            <w:tcW w:w="1565"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szCs w:val="24"/>
                <w:lang w:eastAsia="en-IN"/>
              </w:rPr>
            </w:pPr>
            <w:r w:rsidRPr="0017662C">
              <w:rPr>
                <w:rFonts w:ascii="Bookman Old Style" w:hAnsi="Bookman Old Style" w:cs="Calibri"/>
                <w:szCs w:val="24"/>
                <w:lang w:eastAsia="en-IN"/>
              </w:rPr>
              <w:t>4732.45</w:t>
            </w:r>
          </w:p>
        </w:tc>
        <w:tc>
          <w:tcPr>
            <w:tcW w:w="1941"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szCs w:val="24"/>
                <w:lang w:eastAsia="en-IN"/>
              </w:rPr>
            </w:pPr>
            <w:r w:rsidRPr="0017662C">
              <w:rPr>
                <w:rFonts w:ascii="Bookman Old Style" w:hAnsi="Bookman Old Style" w:cs="Calibri"/>
                <w:szCs w:val="24"/>
                <w:lang w:eastAsia="en-IN"/>
              </w:rPr>
              <w:t>4092.18</w:t>
            </w:r>
          </w:p>
        </w:tc>
      </w:tr>
      <w:tr w:rsidR="0017662C" w:rsidRPr="0017662C" w:rsidTr="00652513">
        <w:trPr>
          <w:trHeight w:val="302"/>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381ACE" w:rsidRPr="0017662C" w:rsidRDefault="00381ACE" w:rsidP="00717D3E">
            <w:pPr>
              <w:spacing w:after="0" w:line="240" w:lineRule="auto"/>
              <w:ind w:right="67"/>
              <w:rPr>
                <w:rFonts w:ascii="Bookman Old Style" w:hAnsi="Bookman Old Style" w:cs="Calibri"/>
                <w:b/>
                <w:bCs/>
                <w:szCs w:val="24"/>
                <w:lang w:eastAsia="en-IN"/>
              </w:rPr>
            </w:pPr>
            <w:r w:rsidRPr="0017662C">
              <w:rPr>
                <w:rFonts w:ascii="Bookman Old Style" w:hAnsi="Bookman Old Style" w:cs="Calibri"/>
                <w:b/>
                <w:bCs/>
                <w:szCs w:val="24"/>
                <w:lang w:eastAsia="en-IN"/>
              </w:rPr>
              <w:t>Surplus Solar &amp; Non Solar energy</w:t>
            </w:r>
          </w:p>
        </w:tc>
        <w:tc>
          <w:tcPr>
            <w:tcW w:w="1565"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b/>
                <w:bCs/>
                <w:szCs w:val="24"/>
                <w:lang w:eastAsia="en-IN"/>
              </w:rPr>
            </w:pPr>
            <w:r w:rsidRPr="0017662C">
              <w:rPr>
                <w:rFonts w:ascii="Bookman Old Style" w:hAnsi="Bookman Old Style" w:cs="Calibri"/>
                <w:b/>
                <w:bCs/>
                <w:szCs w:val="24"/>
                <w:lang w:eastAsia="en-IN"/>
              </w:rPr>
              <w:t>2482.22</w:t>
            </w:r>
          </w:p>
        </w:tc>
        <w:tc>
          <w:tcPr>
            <w:tcW w:w="1941"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b/>
                <w:bCs/>
                <w:szCs w:val="24"/>
                <w:lang w:eastAsia="en-IN"/>
              </w:rPr>
            </w:pPr>
            <w:r w:rsidRPr="0017662C">
              <w:rPr>
                <w:rFonts w:ascii="Bookman Old Style" w:hAnsi="Bookman Old Style" w:cs="Calibri"/>
                <w:b/>
                <w:bCs/>
                <w:szCs w:val="24"/>
                <w:lang w:eastAsia="en-IN"/>
              </w:rPr>
              <w:t>367.65</w:t>
            </w:r>
          </w:p>
        </w:tc>
      </w:tr>
      <w:tr w:rsidR="0017662C" w:rsidRPr="0017662C" w:rsidTr="00652513">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381ACE" w:rsidRPr="0017662C" w:rsidRDefault="00381ACE" w:rsidP="00717D3E">
            <w:pPr>
              <w:spacing w:after="0" w:line="240" w:lineRule="auto"/>
              <w:ind w:right="67"/>
              <w:rPr>
                <w:rFonts w:ascii="Bookman Old Style" w:hAnsi="Bookman Old Style" w:cs="Calibri"/>
                <w:szCs w:val="24"/>
                <w:lang w:eastAsia="en-IN"/>
              </w:rPr>
            </w:pPr>
            <w:r w:rsidRPr="0017662C">
              <w:rPr>
                <w:rFonts w:ascii="Bookman Old Style" w:hAnsi="Bookman Old Style" w:cs="Calibri"/>
                <w:szCs w:val="24"/>
                <w:lang w:eastAsia="en-IN"/>
              </w:rPr>
              <w:t>Non Solar RPO achieved</w:t>
            </w:r>
          </w:p>
        </w:tc>
        <w:tc>
          <w:tcPr>
            <w:tcW w:w="1565"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szCs w:val="24"/>
                <w:lang w:eastAsia="en-IN"/>
              </w:rPr>
            </w:pPr>
            <w:r w:rsidRPr="0017662C">
              <w:rPr>
                <w:rFonts w:ascii="Bookman Old Style" w:hAnsi="Bookman Old Style" w:cs="Calibri"/>
                <w:szCs w:val="24"/>
                <w:lang w:eastAsia="en-IN"/>
              </w:rPr>
              <w:t>4092.18</w:t>
            </w:r>
          </w:p>
        </w:tc>
        <w:tc>
          <w:tcPr>
            <w:tcW w:w="1941"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szCs w:val="24"/>
                <w:lang w:eastAsia="en-IN"/>
              </w:rPr>
            </w:pPr>
            <w:r w:rsidRPr="0017662C">
              <w:rPr>
                <w:rFonts w:ascii="Bookman Old Style" w:hAnsi="Bookman Old Style" w:cs="Calibri"/>
                <w:szCs w:val="24"/>
                <w:lang w:eastAsia="en-IN"/>
              </w:rPr>
              <w:t>13.18%</w:t>
            </w:r>
          </w:p>
        </w:tc>
      </w:tr>
      <w:tr w:rsidR="00381ACE" w:rsidRPr="0017662C" w:rsidTr="00652513">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381ACE" w:rsidRPr="0017662C" w:rsidRDefault="00381ACE" w:rsidP="00717D3E">
            <w:pPr>
              <w:spacing w:after="0" w:line="240" w:lineRule="auto"/>
              <w:ind w:right="67"/>
              <w:rPr>
                <w:rFonts w:ascii="Bookman Old Style" w:hAnsi="Bookman Old Style" w:cs="Calibri"/>
                <w:szCs w:val="24"/>
                <w:lang w:eastAsia="en-IN"/>
              </w:rPr>
            </w:pPr>
            <w:r w:rsidRPr="0017662C">
              <w:rPr>
                <w:rFonts w:ascii="Bookman Old Style" w:hAnsi="Bookman Old Style" w:cs="Calibri"/>
                <w:szCs w:val="24"/>
                <w:lang w:eastAsia="en-IN"/>
              </w:rPr>
              <w:t xml:space="preserve">Solar RPO achieved </w:t>
            </w:r>
          </w:p>
        </w:tc>
        <w:tc>
          <w:tcPr>
            <w:tcW w:w="1565"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szCs w:val="24"/>
                <w:lang w:eastAsia="en-IN"/>
              </w:rPr>
            </w:pPr>
            <w:r w:rsidRPr="0017662C">
              <w:rPr>
                <w:rFonts w:ascii="Bookman Old Style" w:hAnsi="Bookman Old Style" w:cs="Calibri"/>
                <w:szCs w:val="24"/>
                <w:lang w:eastAsia="en-IN"/>
              </w:rPr>
              <w:t>4732.45</w:t>
            </w:r>
          </w:p>
        </w:tc>
        <w:tc>
          <w:tcPr>
            <w:tcW w:w="1941" w:type="dxa"/>
            <w:tcBorders>
              <w:top w:val="nil"/>
              <w:left w:val="nil"/>
              <w:bottom w:val="single" w:sz="4" w:space="0" w:color="auto"/>
              <w:right w:val="single" w:sz="4" w:space="0" w:color="auto"/>
            </w:tcBorders>
            <w:shd w:val="clear" w:color="auto" w:fill="auto"/>
            <w:noWrap/>
            <w:vAlign w:val="bottom"/>
            <w:hideMark/>
          </w:tcPr>
          <w:p w:rsidR="00381ACE" w:rsidRPr="0017662C" w:rsidRDefault="00381ACE" w:rsidP="00C94625">
            <w:pPr>
              <w:spacing w:after="0" w:line="240" w:lineRule="auto"/>
              <w:ind w:right="67"/>
              <w:jc w:val="right"/>
              <w:rPr>
                <w:rFonts w:ascii="Bookman Old Style" w:hAnsi="Bookman Old Style" w:cs="Calibri"/>
                <w:szCs w:val="24"/>
                <w:lang w:eastAsia="en-IN"/>
              </w:rPr>
            </w:pPr>
            <w:r w:rsidRPr="0017662C">
              <w:rPr>
                <w:rFonts w:ascii="Bookman Old Style" w:hAnsi="Bookman Old Style" w:cs="Calibri"/>
                <w:szCs w:val="24"/>
                <w:lang w:eastAsia="en-IN"/>
              </w:rPr>
              <w:t>15.25%</w:t>
            </w:r>
          </w:p>
        </w:tc>
      </w:tr>
    </w:tbl>
    <w:p w:rsidR="00381ACE" w:rsidRPr="0017662C" w:rsidRDefault="00381ACE" w:rsidP="00717D3E">
      <w:pPr>
        <w:spacing w:line="360" w:lineRule="auto"/>
        <w:ind w:right="67"/>
        <w:jc w:val="both"/>
        <w:rPr>
          <w:rFonts w:ascii="Bookman Old Style" w:eastAsiaTheme="minorEastAsia" w:hAnsi="Bookman Old Style" w:cs="Arial"/>
          <w:szCs w:val="26"/>
        </w:rPr>
      </w:pPr>
    </w:p>
    <w:p w:rsidR="00381ACE" w:rsidRPr="0017662C" w:rsidRDefault="00381ACE" w:rsidP="00717D3E">
      <w:pPr>
        <w:spacing w:line="360" w:lineRule="auto"/>
        <w:ind w:right="67"/>
        <w:jc w:val="both"/>
        <w:rPr>
          <w:rFonts w:ascii="Bookman Old Style" w:eastAsiaTheme="minorEastAsia" w:hAnsi="Bookman Old Style" w:cs="Arial"/>
          <w:szCs w:val="26"/>
        </w:rPr>
      </w:pPr>
      <w:r w:rsidRPr="0017662C">
        <w:rPr>
          <w:rFonts w:ascii="Bookman Old Style" w:eastAsiaTheme="minorEastAsia" w:hAnsi="Bookman Old Style" w:cs="Arial"/>
          <w:szCs w:val="26"/>
        </w:rPr>
        <w:t>BESCOM has exceeded both the Non-Solar RPO and solar RPO during FY-20.</w:t>
      </w:r>
    </w:p>
    <w:p w:rsidR="00381ACE" w:rsidRPr="0017662C" w:rsidRDefault="00381ACE" w:rsidP="00717D3E">
      <w:pPr>
        <w:spacing w:line="360" w:lineRule="auto"/>
        <w:ind w:right="67"/>
        <w:jc w:val="both"/>
        <w:rPr>
          <w:rFonts w:ascii="Bookman Old Style" w:eastAsiaTheme="minorEastAsia" w:hAnsi="Bookman Old Style" w:cs="Arial"/>
          <w:b/>
          <w:sz w:val="24"/>
          <w:szCs w:val="24"/>
        </w:rPr>
      </w:pPr>
      <w:r w:rsidRPr="0017662C">
        <w:rPr>
          <w:rFonts w:ascii="Bookman Old Style" w:eastAsiaTheme="minorEastAsia" w:hAnsi="Bookman Old Style" w:cs="Arial"/>
          <w:b/>
          <w:sz w:val="24"/>
          <w:szCs w:val="24"/>
        </w:rPr>
        <w:t>Capital Expenditure for FY-20:</w:t>
      </w:r>
    </w:p>
    <w:p w:rsidR="00294DAD" w:rsidRPr="0017662C" w:rsidRDefault="00381ACE" w:rsidP="009B3D68">
      <w:pPr>
        <w:spacing w:line="360" w:lineRule="auto"/>
        <w:ind w:right="67"/>
        <w:jc w:val="both"/>
        <w:rPr>
          <w:rFonts w:ascii="Bookman Old Style" w:eastAsiaTheme="minorEastAsia" w:hAnsi="Bookman Old Style" w:cs="Arial"/>
          <w:szCs w:val="26"/>
        </w:rPr>
      </w:pPr>
      <w:r w:rsidRPr="0017662C">
        <w:rPr>
          <w:rFonts w:ascii="Bookman Old Style" w:eastAsiaTheme="minorEastAsia" w:hAnsi="Bookman Old Style" w:cs="Arial"/>
          <w:szCs w:val="26"/>
        </w:rPr>
        <w:t>The capital expenditure incurred for FY20</w:t>
      </w:r>
      <w:r w:rsidR="009B3D68" w:rsidRPr="0017662C">
        <w:rPr>
          <w:rFonts w:ascii="Bookman Old Style" w:eastAsiaTheme="minorEastAsia" w:hAnsi="Bookman Old Style" w:cs="Arial"/>
          <w:szCs w:val="26"/>
        </w:rPr>
        <w:t xml:space="preserve"> is depicted in the table below. </w:t>
      </w:r>
      <w:r w:rsidRPr="0017662C">
        <w:rPr>
          <w:rFonts w:ascii="Bookman Old Style" w:eastAsiaTheme="minorEastAsia" w:hAnsi="Bookman Old Style" w:cs="Arial"/>
          <w:szCs w:val="26"/>
        </w:rPr>
        <w:t>The expenditure booked by BESCOM is more than the KERC approved Capital expenditure for FY-20.</w:t>
      </w:r>
    </w:p>
    <w:p w:rsidR="00646A00" w:rsidRPr="0017662C" w:rsidRDefault="00294DAD" w:rsidP="00294DAD">
      <w:pPr>
        <w:spacing w:line="360" w:lineRule="auto"/>
        <w:ind w:right="67"/>
        <w:jc w:val="center"/>
        <w:rPr>
          <w:rFonts w:ascii="Bookman Old Style" w:eastAsiaTheme="minorEastAsia" w:hAnsi="Bookman Old Style" w:cs="Arial"/>
          <w:szCs w:val="26"/>
        </w:rPr>
      </w:pPr>
      <w:r w:rsidRPr="0017662C">
        <w:rPr>
          <w:rFonts w:ascii="Bookman Old Style" w:hAnsi="Bookman Old Style" w:cs="Calibri"/>
          <w:b/>
          <w:bCs/>
          <w:sz w:val="18"/>
          <w:lang w:eastAsia="en-IN"/>
        </w:rPr>
        <w:t>Table 3.1</w:t>
      </w:r>
      <w:r w:rsidR="009B3D68" w:rsidRPr="0017662C">
        <w:rPr>
          <w:rFonts w:ascii="Bookman Old Style" w:hAnsi="Bookman Old Style" w:cs="Calibri"/>
          <w:b/>
          <w:bCs/>
          <w:sz w:val="18"/>
          <w:lang w:eastAsia="en-IN"/>
        </w:rPr>
        <w:t>8</w:t>
      </w:r>
      <w:r w:rsidR="00381ACE" w:rsidRPr="0017662C">
        <w:rPr>
          <w:rFonts w:ascii="Bookman Old Style" w:eastAsiaTheme="minorEastAsia" w:hAnsi="Bookman Old Style" w:cs="Arial"/>
          <w:szCs w:val="26"/>
        </w:rPr>
        <w:t xml:space="preserve"> </w:t>
      </w:r>
    </w:p>
    <w:tbl>
      <w:tblPr>
        <w:tblW w:w="9920" w:type="dxa"/>
        <w:jc w:val="center"/>
        <w:tblLook w:val="04A0" w:firstRow="1" w:lastRow="0" w:firstColumn="1" w:lastColumn="0" w:noHBand="0" w:noVBand="1"/>
      </w:tblPr>
      <w:tblGrid>
        <w:gridCol w:w="924"/>
        <w:gridCol w:w="2694"/>
        <w:gridCol w:w="1334"/>
        <w:gridCol w:w="1099"/>
        <w:gridCol w:w="1477"/>
        <w:gridCol w:w="1176"/>
        <w:gridCol w:w="1216"/>
      </w:tblGrid>
      <w:tr w:rsidR="0017662C" w:rsidRPr="0017662C" w:rsidTr="009B3D68">
        <w:trPr>
          <w:trHeight w:val="1035"/>
          <w:jc w:val="center"/>
        </w:trPr>
        <w:tc>
          <w:tcPr>
            <w:tcW w:w="924" w:type="dxa"/>
            <w:tcBorders>
              <w:top w:val="single" w:sz="8" w:space="0" w:color="auto"/>
              <w:left w:val="single" w:sz="8" w:space="0" w:color="auto"/>
              <w:bottom w:val="nil"/>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Sl. No.</w:t>
            </w:r>
          </w:p>
        </w:tc>
        <w:tc>
          <w:tcPr>
            <w:tcW w:w="2694" w:type="dxa"/>
            <w:tcBorders>
              <w:top w:val="single" w:sz="8" w:space="0" w:color="auto"/>
              <w:left w:val="nil"/>
              <w:bottom w:val="nil"/>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Heads of works</w:t>
            </w:r>
          </w:p>
        </w:tc>
        <w:tc>
          <w:tcPr>
            <w:tcW w:w="1334" w:type="dxa"/>
            <w:tcBorders>
              <w:top w:val="single" w:sz="8" w:space="0" w:color="auto"/>
              <w:left w:val="nil"/>
              <w:bottom w:val="nil"/>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Approved budget in Board (in Crs)</w:t>
            </w:r>
          </w:p>
        </w:tc>
        <w:tc>
          <w:tcPr>
            <w:tcW w:w="1099" w:type="dxa"/>
            <w:tcBorders>
              <w:top w:val="single" w:sz="8" w:space="0" w:color="auto"/>
              <w:left w:val="nil"/>
              <w:bottom w:val="nil"/>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Approved by KERC (in Crs)</w:t>
            </w:r>
          </w:p>
        </w:tc>
        <w:tc>
          <w:tcPr>
            <w:tcW w:w="1477" w:type="dxa"/>
            <w:tcBorders>
              <w:top w:val="single" w:sz="8" w:space="0" w:color="auto"/>
              <w:left w:val="nil"/>
              <w:bottom w:val="nil"/>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Provisional expenditure utilized in Crs</w:t>
            </w:r>
          </w:p>
        </w:tc>
        <w:tc>
          <w:tcPr>
            <w:tcW w:w="1176" w:type="dxa"/>
            <w:tcBorders>
              <w:top w:val="single" w:sz="8" w:space="0" w:color="auto"/>
              <w:left w:val="nil"/>
              <w:bottom w:val="nil"/>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  against budget approved by Board</w:t>
            </w:r>
          </w:p>
        </w:tc>
        <w:tc>
          <w:tcPr>
            <w:tcW w:w="1216" w:type="dxa"/>
            <w:tcBorders>
              <w:top w:val="single" w:sz="8" w:space="0" w:color="auto"/>
              <w:left w:val="nil"/>
              <w:bottom w:val="nil"/>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  against budget approved by KERC</w:t>
            </w:r>
          </w:p>
        </w:tc>
      </w:tr>
      <w:tr w:rsidR="0017662C" w:rsidRPr="0017662C" w:rsidTr="009B3D68">
        <w:trPr>
          <w:trHeight w:val="315"/>
          <w:jc w:val="center"/>
        </w:trPr>
        <w:tc>
          <w:tcPr>
            <w:tcW w:w="9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Ganga kalyana Works</w:t>
            </w:r>
          </w:p>
        </w:tc>
        <w:tc>
          <w:tcPr>
            <w:tcW w:w="1334" w:type="dxa"/>
            <w:tcBorders>
              <w:top w:val="single" w:sz="8" w:space="0" w:color="auto"/>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79.13</w:t>
            </w:r>
          </w:p>
        </w:tc>
        <w:tc>
          <w:tcPr>
            <w:tcW w:w="10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2165.58</w:t>
            </w:r>
          </w:p>
        </w:tc>
        <w:tc>
          <w:tcPr>
            <w:tcW w:w="1477" w:type="dxa"/>
            <w:tcBorders>
              <w:top w:val="single" w:sz="8" w:space="0" w:color="auto"/>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85.63</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108</w:t>
            </w:r>
          </w:p>
        </w:tc>
        <w:tc>
          <w:tcPr>
            <w:tcW w:w="12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116</w:t>
            </w:r>
          </w:p>
        </w:tc>
      </w:tr>
      <w:tr w:rsidR="0017662C" w:rsidRPr="0017662C"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2</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 xml:space="preserve">Service connection works </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89.32</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p>
        </w:tc>
        <w:tc>
          <w:tcPr>
            <w:tcW w:w="14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94.56</w:t>
            </w:r>
          </w:p>
        </w:tc>
        <w:tc>
          <w:tcPr>
            <w:tcW w:w="11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106</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243"/>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3</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Water Works</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40.9</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p>
        </w:tc>
        <w:tc>
          <w:tcPr>
            <w:tcW w:w="1477" w:type="dxa"/>
            <w:vMerge/>
            <w:tcBorders>
              <w:top w:val="nil"/>
              <w:left w:val="single" w:sz="8" w:space="0" w:color="auto"/>
              <w:bottom w:val="single" w:sz="8" w:space="0" w:color="000000"/>
              <w:right w:val="single" w:sz="8" w:space="0" w:color="auto"/>
            </w:tcBorders>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p>
        </w:tc>
        <w:tc>
          <w:tcPr>
            <w:tcW w:w="1176" w:type="dxa"/>
            <w:vMerge/>
            <w:tcBorders>
              <w:top w:val="nil"/>
              <w:left w:val="single" w:sz="8" w:space="0" w:color="auto"/>
              <w:bottom w:val="single" w:sz="8" w:space="0" w:color="000000"/>
              <w:right w:val="single" w:sz="8" w:space="0" w:color="auto"/>
            </w:tcBorders>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4</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Planned works Total</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209.35</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180.19</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86</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5</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11 KV Evacuation line</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118.58</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113.44</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96</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526"/>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6</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Providing Additional DTC's / Enhancement  of DTCs</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50.42</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44.98</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89</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449"/>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7</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Reconductoring of HT lines in No.s/Circuit kms</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134.65</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78.22</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58</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BA5825">
        <w:trPr>
          <w:trHeight w:val="530"/>
          <w:jc w:val="center"/>
        </w:trPr>
        <w:tc>
          <w:tcPr>
            <w:tcW w:w="924" w:type="dxa"/>
            <w:tcBorders>
              <w:top w:val="nil"/>
              <w:left w:val="single" w:sz="8" w:space="0" w:color="auto"/>
              <w:bottom w:val="single" w:sz="4"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8</w:t>
            </w:r>
          </w:p>
        </w:tc>
        <w:tc>
          <w:tcPr>
            <w:tcW w:w="2694" w:type="dxa"/>
            <w:tcBorders>
              <w:top w:val="nil"/>
              <w:left w:val="nil"/>
              <w:bottom w:val="single" w:sz="4"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 xml:space="preserve">Reconductoring of LT lines in No.s/circuit kms  </w:t>
            </w:r>
          </w:p>
        </w:tc>
        <w:tc>
          <w:tcPr>
            <w:tcW w:w="1334" w:type="dxa"/>
            <w:tcBorders>
              <w:top w:val="nil"/>
              <w:left w:val="nil"/>
              <w:bottom w:val="single" w:sz="4"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114.39</w:t>
            </w:r>
          </w:p>
        </w:tc>
        <w:tc>
          <w:tcPr>
            <w:tcW w:w="1099" w:type="dxa"/>
            <w:vMerge/>
            <w:tcBorders>
              <w:top w:val="single" w:sz="8" w:space="0" w:color="auto"/>
              <w:left w:val="single" w:sz="8" w:space="0" w:color="auto"/>
              <w:bottom w:val="single" w:sz="4" w:space="0" w:color="auto"/>
              <w:right w:val="single" w:sz="8" w:space="0" w:color="auto"/>
            </w:tcBorders>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p>
        </w:tc>
        <w:tc>
          <w:tcPr>
            <w:tcW w:w="1477" w:type="dxa"/>
            <w:tcBorders>
              <w:top w:val="nil"/>
              <w:left w:val="nil"/>
              <w:bottom w:val="single" w:sz="4"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98.14</w:t>
            </w:r>
          </w:p>
        </w:tc>
        <w:tc>
          <w:tcPr>
            <w:tcW w:w="1176" w:type="dxa"/>
            <w:tcBorders>
              <w:top w:val="nil"/>
              <w:left w:val="nil"/>
              <w:bottom w:val="single" w:sz="4"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86</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BA5825">
        <w:trPr>
          <w:trHeight w:val="702"/>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lastRenderedPageBreak/>
              <w:t>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Local planning, Safety works, Emergency / Calamity Works</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87.65</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79.24</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90</w:t>
            </w:r>
          </w:p>
        </w:tc>
        <w:tc>
          <w:tcPr>
            <w:tcW w:w="1216" w:type="dxa"/>
            <w:vMerge/>
            <w:tcBorders>
              <w:top w:val="single" w:sz="8" w:space="0" w:color="auto"/>
              <w:left w:val="single" w:sz="4"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BA5825">
        <w:trPr>
          <w:trHeight w:val="294"/>
          <w:jc w:val="center"/>
        </w:trPr>
        <w:tc>
          <w:tcPr>
            <w:tcW w:w="92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10</w:t>
            </w:r>
          </w:p>
        </w:tc>
        <w:tc>
          <w:tcPr>
            <w:tcW w:w="2694" w:type="dxa"/>
            <w:tcBorders>
              <w:top w:val="single" w:sz="4" w:space="0" w:color="auto"/>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SDP Progress</w:t>
            </w:r>
          </w:p>
        </w:tc>
        <w:tc>
          <w:tcPr>
            <w:tcW w:w="1334" w:type="dxa"/>
            <w:tcBorders>
              <w:top w:val="single" w:sz="4" w:space="0" w:color="auto"/>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73.48</w:t>
            </w:r>
          </w:p>
        </w:tc>
        <w:tc>
          <w:tcPr>
            <w:tcW w:w="1099" w:type="dxa"/>
            <w:vMerge/>
            <w:tcBorders>
              <w:top w:val="single" w:sz="4"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single" w:sz="4" w:space="0" w:color="auto"/>
              <w:left w:val="nil"/>
              <w:bottom w:val="single" w:sz="8" w:space="0" w:color="auto"/>
              <w:right w:val="single" w:sz="8" w:space="0" w:color="auto"/>
            </w:tcBorders>
            <w:shd w:val="clear" w:color="auto" w:fill="auto"/>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100% funded by GOK</w:t>
            </w:r>
          </w:p>
        </w:tc>
        <w:tc>
          <w:tcPr>
            <w:tcW w:w="1176" w:type="dxa"/>
            <w:tcBorders>
              <w:top w:val="single" w:sz="4" w:space="0" w:color="auto"/>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0</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414"/>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11</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Replacement of Faulty transformers</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100</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161.19</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161</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352"/>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12</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Non-Planned works Total</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679.16</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575.22</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b/>
                <w:bCs/>
                <w:sz w:val="18"/>
                <w:szCs w:val="18"/>
                <w:lang w:eastAsia="en-IN"/>
              </w:rPr>
            </w:pPr>
            <w:r w:rsidRPr="0017662C">
              <w:rPr>
                <w:rFonts w:ascii="Bookman Old Style" w:eastAsia="Times New Roman" w:hAnsi="Bookman Old Style" w:cs="Calibri"/>
                <w:b/>
                <w:bCs/>
                <w:sz w:val="18"/>
                <w:szCs w:val="18"/>
                <w:lang w:eastAsia="en-IN"/>
              </w:rPr>
              <w:t>85</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13</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Meters</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132.72</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18.06</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14</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523"/>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14</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Providing Infrastructure to Unauthorised IP sets</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401.44</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368.91</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92</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15</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NJY</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131.72</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158.67</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120</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16</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HVDS</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144.8</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139.54</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96</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17</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RGGVY 12th plan</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0.11</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-2.41</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-2292</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18</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RAPDRP B</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1.52</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8.41</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553</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216"/>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19</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DDUGJY</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142.42</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136.49</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96</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277"/>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20</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IPDS</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311.03</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179.3</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58</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657"/>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21</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 xml:space="preserve">Errection of distribution transformer </w:t>
            </w:r>
            <w:r w:rsidR="009B3D68" w:rsidRPr="0017662C">
              <w:rPr>
                <w:rFonts w:ascii="Bookman Old Style" w:eastAsia="Times New Roman" w:hAnsi="Bookman Old Style" w:cs="Calibri"/>
                <w:sz w:val="18"/>
                <w:szCs w:val="18"/>
                <w:lang w:eastAsia="en-IN"/>
              </w:rPr>
              <w:t>centres</w:t>
            </w:r>
            <w:r w:rsidRPr="0017662C">
              <w:rPr>
                <w:rFonts w:ascii="Bookman Old Style" w:eastAsia="Times New Roman" w:hAnsi="Bookman Old Style" w:cs="Calibri"/>
                <w:sz w:val="18"/>
                <w:szCs w:val="18"/>
                <w:lang w:eastAsia="en-IN"/>
              </w:rPr>
              <w:t xml:space="preserve"> using 11 mtrs Spun poles</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33.59</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41.29</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123</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290"/>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22</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RAPDRP A</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6.62</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1.98</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30</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267"/>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23</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 xml:space="preserve">DAS </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43.53</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0.99</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2</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256"/>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24</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SG</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19.21</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-0.26</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254"/>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25</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DSM</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18.17</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1.87</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10</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26</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 xml:space="preserve">Civil Engineering Works </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90.22</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78.59</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87</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17662C" w:rsidRPr="0017662C"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jc w:val="center"/>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27</w:t>
            </w:r>
          </w:p>
        </w:tc>
        <w:tc>
          <w:tcPr>
            <w:tcW w:w="2694" w:type="dxa"/>
            <w:tcBorders>
              <w:top w:val="nil"/>
              <w:left w:val="nil"/>
              <w:bottom w:val="single" w:sz="8" w:space="0" w:color="auto"/>
              <w:right w:val="single" w:sz="8" w:space="0" w:color="auto"/>
            </w:tcBorders>
            <w:shd w:val="clear" w:color="auto" w:fill="auto"/>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IT initiative</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18.48</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1.93</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17662C" w:rsidRDefault="0088481E" w:rsidP="0033491E">
            <w:pPr>
              <w:spacing w:after="0" w:line="240" w:lineRule="auto"/>
              <w:jc w:val="right"/>
              <w:rPr>
                <w:rFonts w:ascii="Bookman Old Style" w:eastAsia="Times New Roman" w:hAnsi="Bookman Old Style" w:cs="Calibri"/>
                <w:sz w:val="18"/>
                <w:szCs w:val="18"/>
                <w:lang w:eastAsia="en-IN"/>
              </w:rPr>
            </w:pPr>
            <w:r w:rsidRPr="0017662C">
              <w:rPr>
                <w:rFonts w:ascii="Bookman Old Style" w:eastAsia="Times New Roman" w:hAnsi="Bookman Old Style" w:cs="Calibri"/>
                <w:sz w:val="18"/>
                <w:szCs w:val="18"/>
                <w:lang w:eastAsia="en-IN"/>
              </w:rPr>
              <w:t>10</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17662C" w:rsidRDefault="0088481E" w:rsidP="009B3D68">
            <w:pPr>
              <w:spacing w:after="0" w:line="240" w:lineRule="auto"/>
              <w:rPr>
                <w:rFonts w:ascii="Bookman Old Style" w:eastAsia="Times New Roman" w:hAnsi="Bookman Old Style" w:cs="Calibri"/>
                <w:sz w:val="18"/>
                <w:szCs w:val="18"/>
                <w:lang w:eastAsia="en-IN"/>
              </w:rPr>
            </w:pPr>
          </w:p>
        </w:tc>
      </w:tr>
      <w:tr w:rsidR="0088481E" w:rsidRPr="0088481E" w:rsidTr="009B3D68">
        <w:trPr>
          <w:trHeight w:val="16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jc w:val="center"/>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28</w:t>
            </w:r>
          </w:p>
        </w:tc>
        <w:tc>
          <w:tcPr>
            <w:tcW w:w="2694" w:type="dxa"/>
            <w:tcBorders>
              <w:top w:val="nil"/>
              <w:left w:val="nil"/>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TIC</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8.95</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2.32</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26</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r>
      <w:tr w:rsidR="0088481E" w:rsidRPr="0088481E"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jc w:val="center"/>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29</w:t>
            </w:r>
          </w:p>
        </w:tc>
        <w:tc>
          <w:tcPr>
            <w:tcW w:w="2694" w:type="dxa"/>
            <w:tcBorders>
              <w:top w:val="nil"/>
              <w:left w:val="nil"/>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Auto reclosure</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52.58</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19.33</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37</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r>
      <w:tr w:rsidR="0088481E" w:rsidRPr="0088481E"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jc w:val="center"/>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30</w:t>
            </w:r>
          </w:p>
        </w:tc>
        <w:tc>
          <w:tcPr>
            <w:tcW w:w="2694" w:type="dxa"/>
            <w:tcBorders>
              <w:top w:val="nil"/>
              <w:left w:val="nil"/>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Model Sub division</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450.41</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422.26</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94</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r>
      <w:tr w:rsidR="0088481E" w:rsidRPr="0088481E"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jc w:val="center"/>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31</w:t>
            </w:r>
          </w:p>
        </w:tc>
        <w:tc>
          <w:tcPr>
            <w:tcW w:w="2694" w:type="dxa"/>
            <w:tcBorders>
              <w:top w:val="nil"/>
              <w:left w:val="nil"/>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Smart City</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124.51</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84.07</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68</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r>
      <w:tr w:rsidR="0088481E" w:rsidRPr="0088481E"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jc w:val="center"/>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32</w:t>
            </w:r>
          </w:p>
        </w:tc>
        <w:tc>
          <w:tcPr>
            <w:tcW w:w="2694" w:type="dxa"/>
            <w:tcBorders>
              <w:top w:val="nil"/>
              <w:left w:val="nil"/>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Model village</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27.75</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26.56</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96</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r>
      <w:tr w:rsidR="0088481E" w:rsidRPr="0088481E" w:rsidTr="009B3D68">
        <w:trPr>
          <w:trHeight w:val="472"/>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jc w:val="center"/>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33</w:t>
            </w:r>
          </w:p>
        </w:tc>
        <w:tc>
          <w:tcPr>
            <w:tcW w:w="2694" w:type="dxa"/>
            <w:tcBorders>
              <w:top w:val="nil"/>
              <w:left w:val="nil"/>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System improvement works of Indiranagar division</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61.41</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29.51</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48</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r>
      <w:tr w:rsidR="0088481E" w:rsidRPr="0088481E" w:rsidTr="009B3D68">
        <w:trPr>
          <w:trHeight w:val="408"/>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jc w:val="center"/>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34</w:t>
            </w:r>
          </w:p>
        </w:tc>
        <w:tc>
          <w:tcPr>
            <w:tcW w:w="2694" w:type="dxa"/>
            <w:tcBorders>
              <w:top w:val="nil"/>
              <w:left w:val="nil"/>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Conversion of OH line into UG/AB cable</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359.32</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27.62</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8</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r>
      <w:tr w:rsidR="0088481E" w:rsidRPr="0088481E" w:rsidTr="009B3D68">
        <w:trPr>
          <w:trHeight w:val="252"/>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jc w:val="center"/>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35</w:t>
            </w:r>
          </w:p>
        </w:tc>
        <w:tc>
          <w:tcPr>
            <w:tcW w:w="2694" w:type="dxa"/>
            <w:tcBorders>
              <w:top w:val="nil"/>
              <w:left w:val="nil"/>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T&amp;P</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12.11</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16.76</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138</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r>
      <w:tr w:rsidR="0088481E" w:rsidRPr="0088481E" w:rsidTr="00081763">
        <w:trPr>
          <w:trHeight w:val="412"/>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jc w:val="center"/>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36</w:t>
            </w:r>
          </w:p>
        </w:tc>
        <w:tc>
          <w:tcPr>
            <w:tcW w:w="2694" w:type="dxa"/>
            <w:tcBorders>
              <w:top w:val="nil"/>
              <w:left w:val="nil"/>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Corporate office reserve fund</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37.53</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 </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0</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r>
      <w:tr w:rsidR="0088481E" w:rsidRPr="0088481E"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jc w:val="center"/>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37</w:t>
            </w:r>
          </w:p>
        </w:tc>
        <w:tc>
          <w:tcPr>
            <w:tcW w:w="2694" w:type="dxa"/>
            <w:tcBorders>
              <w:top w:val="nil"/>
              <w:left w:val="nil"/>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Others</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 </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5.26</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color w:val="000000"/>
                <w:sz w:val="18"/>
                <w:szCs w:val="18"/>
                <w:lang w:eastAsia="en-IN"/>
              </w:rPr>
            </w:pPr>
            <w:r w:rsidRPr="0088481E">
              <w:rPr>
                <w:rFonts w:ascii="Bookman Old Style" w:eastAsia="Times New Roman" w:hAnsi="Bookman Old Style" w:cs="Calibri"/>
                <w:color w:val="000000"/>
                <w:sz w:val="18"/>
                <w:szCs w:val="18"/>
                <w:lang w:eastAsia="en-IN"/>
              </w:rPr>
              <w:t> </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r>
      <w:tr w:rsidR="0088481E" w:rsidRPr="0088481E"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jc w:val="center"/>
              <w:rPr>
                <w:rFonts w:ascii="Bookman Old Style" w:eastAsia="Times New Roman" w:hAnsi="Bookman Old Style" w:cs="Calibri"/>
                <w:b/>
                <w:bCs/>
                <w:color w:val="000000"/>
                <w:sz w:val="18"/>
                <w:szCs w:val="18"/>
                <w:lang w:eastAsia="en-IN"/>
              </w:rPr>
            </w:pPr>
            <w:r w:rsidRPr="0088481E">
              <w:rPr>
                <w:rFonts w:ascii="Bookman Old Style" w:eastAsia="Times New Roman" w:hAnsi="Bookman Old Style" w:cs="Calibri"/>
                <w:b/>
                <w:bCs/>
                <w:color w:val="000000"/>
                <w:sz w:val="18"/>
                <w:szCs w:val="18"/>
                <w:lang w:eastAsia="en-IN"/>
              </w:rPr>
              <w:t>38</w:t>
            </w:r>
          </w:p>
        </w:tc>
        <w:tc>
          <w:tcPr>
            <w:tcW w:w="2694" w:type="dxa"/>
            <w:tcBorders>
              <w:top w:val="nil"/>
              <w:left w:val="nil"/>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rPr>
                <w:rFonts w:ascii="Bookman Old Style" w:eastAsia="Times New Roman" w:hAnsi="Bookman Old Style" w:cs="Calibri"/>
                <w:b/>
                <w:bCs/>
                <w:color w:val="000000"/>
                <w:sz w:val="18"/>
                <w:szCs w:val="18"/>
                <w:lang w:eastAsia="en-IN"/>
              </w:rPr>
            </w:pPr>
            <w:r w:rsidRPr="0088481E">
              <w:rPr>
                <w:rFonts w:ascii="Bookman Old Style" w:eastAsia="Times New Roman" w:hAnsi="Bookman Old Style" w:cs="Calibri"/>
                <w:b/>
                <w:bCs/>
                <w:color w:val="000000"/>
                <w:sz w:val="18"/>
                <w:szCs w:val="18"/>
                <w:lang w:eastAsia="en-IN"/>
              </w:rPr>
              <w:t>Project total</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b/>
                <w:bCs/>
                <w:color w:val="000000"/>
                <w:sz w:val="18"/>
                <w:szCs w:val="18"/>
                <w:lang w:eastAsia="en-IN"/>
              </w:rPr>
            </w:pPr>
            <w:r w:rsidRPr="0088481E">
              <w:rPr>
                <w:rFonts w:ascii="Bookman Old Style" w:eastAsia="Times New Roman" w:hAnsi="Bookman Old Style" w:cs="Calibri"/>
                <w:b/>
                <w:bCs/>
                <w:color w:val="000000"/>
                <w:sz w:val="18"/>
                <w:szCs w:val="18"/>
                <w:lang w:eastAsia="en-IN"/>
              </w:rPr>
              <w:t>2630.13</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b/>
                <w:bCs/>
                <w:color w:val="000000"/>
                <w:sz w:val="18"/>
                <w:szCs w:val="18"/>
                <w:lang w:eastAsia="en-IN"/>
              </w:rPr>
            </w:pPr>
            <w:r w:rsidRPr="0088481E">
              <w:rPr>
                <w:rFonts w:ascii="Bookman Old Style" w:eastAsia="Times New Roman" w:hAnsi="Bookman Old Style" w:cs="Calibri"/>
                <w:b/>
                <w:bCs/>
                <w:color w:val="000000"/>
                <w:sz w:val="18"/>
                <w:szCs w:val="18"/>
                <w:lang w:eastAsia="en-IN"/>
              </w:rPr>
              <w:t>1767.06</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b/>
                <w:bCs/>
                <w:color w:val="000000"/>
                <w:sz w:val="18"/>
                <w:szCs w:val="18"/>
                <w:lang w:eastAsia="en-IN"/>
              </w:rPr>
            </w:pPr>
            <w:r w:rsidRPr="0088481E">
              <w:rPr>
                <w:rFonts w:ascii="Bookman Old Style" w:eastAsia="Times New Roman" w:hAnsi="Bookman Old Style" w:cs="Calibri"/>
                <w:b/>
                <w:bCs/>
                <w:color w:val="000000"/>
                <w:sz w:val="18"/>
                <w:szCs w:val="18"/>
                <w:lang w:eastAsia="en-IN"/>
              </w:rPr>
              <w:t>67</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r>
      <w:tr w:rsidR="0088481E" w:rsidRPr="0088481E" w:rsidTr="009B3D68">
        <w:trPr>
          <w:trHeight w:val="315"/>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jc w:val="center"/>
              <w:rPr>
                <w:rFonts w:ascii="Bookman Old Style" w:eastAsia="Times New Roman" w:hAnsi="Bookman Old Style" w:cs="Calibri"/>
                <w:b/>
                <w:bCs/>
                <w:color w:val="000000"/>
                <w:sz w:val="18"/>
                <w:szCs w:val="18"/>
                <w:lang w:eastAsia="en-IN"/>
              </w:rPr>
            </w:pPr>
            <w:r w:rsidRPr="0088481E">
              <w:rPr>
                <w:rFonts w:ascii="Bookman Old Style" w:eastAsia="Times New Roman" w:hAnsi="Bookman Old Style" w:cs="Calibri"/>
                <w:b/>
                <w:bCs/>
                <w:color w:val="000000"/>
                <w:sz w:val="18"/>
                <w:szCs w:val="18"/>
                <w:lang w:eastAsia="en-IN"/>
              </w:rPr>
              <w:t>39</w:t>
            </w:r>
          </w:p>
        </w:tc>
        <w:tc>
          <w:tcPr>
            <w:tcW w:w="2694" w:type="dxa"/>
            <w:tcBorders>
              <w:top w:val="nil"/>
              <w:left w:val="nil"/>
              <w:bottom w:val="single" w:sz="8" w:space="0" w:color="auto"/>
              <w:right w:val="single" w:sz="8" w:space="0" w:color="auto"/>
            </w:tcBorders>
            <w:shd w:val="clear" w:color="auto" w:fill="auto"/>
            <w:vAlign w:val="center"/>
            <w:hideMark/>
          </w:tcPr>
          <w:p w:rsidR="0088481E" w:rsidRPr="0088481E" w:rsidRDefault="0088481E" w:rsidP="009B3D68">
            <w:pPr>
              <w:spacing w:after="0" w:line="240" w:lineRule="auto"/>
              <w:rPr>
                <w:rFonts w:ascii="Bookman Old Style" w:eastAsia="Times New Roman" w:hAnsi="Bookman Old Style" w:cs="Calibri"/>
                <w:b/>
                <w:bCs/>
                <w:color w:val="000000"/>
                <w:sz w:val="18"/>
                <w:szCs w:val="18"/>
                <w:lang w:eastAsia="en-IN"/>
              </w:rPr>
            </w:pPr>
            <w:r w:rsidRPr="0088481E">
              <w:rPr>
                <w:rFonts w:ascii="Bookman Old Style" w:eastAsia="Times New Roman" w:hAnsi="Bookman Old Style" w:cs="Calibri"/>
                <w:b/>
                <w:bCs/>
                <w:color w:val="000000"/>
                <w:sz w:val="18"/>
                <w:szCs w:val="18"/>
                <w:lang w:eastAsia="en-IN"/>
              </w:rPr>
              <w:t>Grand Total</w:t>
            </w:r>
          </w:p>
        </w:tc>
        <w:tc>
          <w:tcPr>
            <w:tcW w:w="1334"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b/>
                <w:bCs/>
                <w:color w:val="000000"/>
                <w:sz w:val="18"/>
                <w:szCs w:val="18"/>
                <w:lang w:eastAsia="en-IN"/>
              </w:rPr>
            </w:pPr>
            <w:r w:rsidRPr="0088481E">
              <w:rPr>
                <w:rFonts w:ascii="Bookman Old Style" w:eastAsia="Times New Roman" w:hAnsi="Bookman Old Style" w:cs="Calibri"/>
                <w:b/>
                <w:bCs/>
                <w:color w:val="000000"/>
                <w:sz w:val="18"/>
                <w:szCs w:val="18"/>
                <w:lang w:eastAsia="en-IN"/>
              </w:rPr>
              <w:t>3518.63</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c>
          <w:tcPr>
            <w:tcW w:w="1477"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b/>
                <w:bCs/>
                <w:color w:val="000000"/>
                <w:sz w:val="18"/>
                <w:szCs w:val="18"/>
                <w:lang w:eastAsia="en-IN"/>
              </w:rPr>
            </w:pPr>
            <w:r w:rsidRPr="0088481E">
              <w:rPr>
                <w:rFonts w:ascii="Bookman Old Style" w:eastAsia="Times New Roman" w:hAnsi="Bookman Old Style" w:cs="Calibri"/>
                <w:b/>
                <w:bCs/>
                <w:color w:val="000000"/>
                <w:sz w:val="18"/>
                <w:szCs w:val="18"/>
                <w:lang w:eastAsia="en-IN"/>
              </w:rPr>
              <w:t>2522.48</w:t>
            </w:r>
          </w:p>
        </w:tc>
        <w:tc>
          <w:tcPr>
            <w:tcW w:w="1176" w:type="dxa"/>
            <w:tcBorders>
              <w:top w:val="nil"/>
              <w:left w:val="nil"/>
              <w:bottom w:val="single" w:sz="8" w:space="0" w:color="auto"/>
              <w:right w:val="single" w:sz="8" w:space="0" w:color="auto"/>
            </w:tcBorders>
            <w:shd w:val="clear" w:color="auto" w:fill="auto"/>
            <w:noWrap/>
            <w:vAlign w:val="center"/>
            <w:hideMark/>
          </w:tcPr>
          <w:p w:rsidR="0088481E" w:rsidRPr="0088481E" w:rsidRDefault="0088481E" w:rsidP="0033491E">
            <w:pPr>
              <w:spacing w:after="0" w:line="240" w:lineRule="auto"/>
              <w:jc w:val="right"/>
              <w:rPr>
                <w:rFonts w:ascii="Bookman Old Style" w:eastAsia="Times New Roman" w:hAnsi="Bookman Old Style" w:cs="Calibri"/>
                <w:b/>
                <w:bCs/>
                <w:color w:val="000000"/>
                <w:sz w:val="18"/>
                <w:szCs w:val="18"/>
                <w:lang w:eastAsia="en-IN"/>
              </w:rPr>
            </w:pPr>
            <w:r w:rsidRPr="0088481E">
              <w:rPr>
                <w:rFonts w:ascii="Bookman Old Style" w:eastAsia="Times New Roman" w:hAnsi="Bookman Old Style" w:cs="Calibri"/>
                <w:b/>
                <w:bCs/>
                <w:color w:val="000000"/>
                <w:sz w:val="18"/>
                <w:szCs w:val="18"/>
                <w:lang w:eastAsia="en-IN"/>
              </w:rPr>
              <w:t>72</w:t>
            </w:r>
          </w:p>
        </w:tc>
        <w:tc>
          <w:tcPr>
            <w:tcW w:w="1216" w:type="dxa"/>
            <w:vMerge/>
            <w:tcBorders>
              <w:top w:val="single" w:sz="8" w:space="0" w:color="auto"/>
              <w:left w:val="single" w:sz="8" w:space="0" w:color="auto"/>
              <w:bottom w:val="single" w:sz="8" w:space="0" w:color="000000"/>
              <w:right w:val="single" w:sz="8" w:space="0" w:color="auto"/>
            </w:tcBorders>
            <w:vAlign w:val="center"/>
            <w:hideMark/>
          </w:tcPr>
          <w:p w:rsidR="0088481E" w:rsidRPr="0088481E" w:rsidRDefault="0088481E" w:rsidP="009B3D68">
            <w:pPr>
              <w:spacing w:after="0" w:line="240" w:lineRule="auto"/>
              <w:rPr>
                <w:rFonts w:ascii="Bookman Old Style" w:eastAsia="Times New Roman" w:hAnsi="Bookman Old Style" w:cs="Calibri"/>
                <w:color w:val="000000"/>
                <w:sz w:val="18"/>
                <w:szCs w:val="18"/>
                <w:lang w:eastAsia="en-IN"/>
              </w:rPr>
            </w:pPr>
          </w:p>
        </w:tc>
      </w:tr>
    </w:tbl>
    <w:p w:rsidR="00D117FE" w:rsidRDefault="00D117FE" w:rsidP="00717D3E">
      <w:pPr>
        <w:spacing w:line="360" w:lineRule="auto"/>
        <w:ind w:right="67"/>
        <w:jc w:val="both"/>
        <w:rPr>
          <w:rFonts w:ascii="Bookman Old Style" w:eastAsiaTheme="minorEastAsia" w:hAnsi="Bookman Old Style" w:cs="Arial"/>
          <w:szCs w:val="26"/>
        </w:rPr>
      </w:pPr>
    </w:p>
    <w:p w:rsidR="00381ACE" w:rsidRPr="0010203D" w:rsidRDefault="00381ACE" w:rsidP="00717D3E">
      <w:pPr>
        <w:spacing w:line="360" w:lineRule="auto"/>
        <w:ind w:right="67"/>
        <w:jc w:val="both"/>
        <w:rPr>
          <w:rFonts w:ascii="Bookman Old Style" w:eastAsiaTheme="minorEastAsia" w:hAnsi="Bookman Old Style" w:cs="Arial"/>
          <w:b/>
          <w:sz w:val="28"/>
          <w:szCs w:val="24"/>
        </w:rPr>
      </w:pPr>
      <w:r w:rsidRPr="0010203D">
        <w:rPr>
          <w:rFonts w:ascii="Bookman Old Style" w:eastAsiaTheme="minorEastAsia" w:hAnsi="Bookman Old Style" w:cs="Arial"/>
          <w:b/>
          <w:sz w:val="28"/>
          <w:szCs w:val="24"/>
        </w:rPr>
        <w:t>Operation and Maintenance Expenses:</w:t>
      </w:r>
    </w:p>
    <w:p w:rsidR="00381ACE" w:rsidRPr="00E85457" w:rsidRDefault="00381ACE" w:rsidP="00E85457">
      <w:pPr>
        <w:spacing w:line="360" w:lineRule="auto"/>
        <w:ind w:right="67"/>
        <w:jc w:val="both"/>
        <w:rPr>
          <w:rFonts w:ascii="Bookman Old Style" w:eastAsiaTheme="minorEastAsia" w:hAnsi="Bookman Old Style" w:cs="Arial"/>
        </w:rPr>
      </w:pPr>
      <w:r>
        <w:rPr>
          <w:rFonts w:ascii="Bookman Old Style" w:eastAsiaTheme="minorEastAsia" w:hAnsi="Bookman Old Style" w:cs="Arial"/>
        </w:rPr>
        <w:t xml:space="preserve">The Commission, in its Tariff Order 2019, dated 30.05.2019 had approved the </w:t>
      </w:r>
      <w:r w:rsidRPr="0010203D">
        <w:rPr>
          <w:rFonts w:ascii="Bookman Old Style" w:eastAsiaTheme="minorEastAsia" w:hAnsi="Bookman Old Style" w:cs="Arial"/>
        </w:rPr>
        <w:t>Operation and Maintenance Expenses (O&amp;M Expenses)</w:t>
      </w:r>
      <w:r>
        <w:rPr>
          <w:rFonts w:ascii="Bookman Old Style" w:eastAsiaTheme="minorEastAsia" w:hAnsi="Bookman Old Style" w:cs="Arial"/>
        </w:rPr>
        <w:t xml:space="preserve"> of Rs.1890.61 Crs., O&amp;M Expenses </w:t>
      </w:r>
      <w:r w:rsidRPr="0010203D">
        <w:rPr>
          <w:rFonts w:ascii="Bookman Old Style" w:eastAsiaTheme="minorEastAsia" w:hAnsi="Bookman Old Style" w:cs="Arial"/>
        </w:rPr>
        <w:t xml:space="preserve">includes, Repair and Maintenance expenses, Employee cost and </w:t>
      </w:r>
      <w:r w:rsidRPr="0010203D">
        <w:rPr>
          <w:rFonts w:ascii="Bookman Old Style" w:eastAsiaTheme="minorEastAsia" w:hAnsi="Bookman Old Style" w:cs="Arial"/>
        </w:rPr>
        <w:lastRenderedPageBreak/>
        <w:t>Administrative and General Expenditure. Commission is approving O&amp;M Expenses through formula on normative basis. Factors contributing for increase in O&amp;M expenses are Inflation index and consumer growth rate</w:t>
      </w:r>
      <w:r w:rsidRPr="00E85457">
        <w:rPr>
          <w:rFonts w:ascii="Bookman Old Style" w:eastAsiaTheme="minorEastAsia" w:hAnsi="Bookman Old Style" w:cs="Arial"/>
        </w:rPr>
        <w:t>.  Increases in cost by these indices are reduced to an extent of predetermined BESCOM’s efficiency factor of 1%.</w:t>
      </w:r>
    </w:p>
    <w:p w:rsidR="00381ACE" w:rsidRDefault="00381ACE" w:rsidP="00E85457">
      <w:pPr>
        <w:spacing w:line="360" w:lineRule="auto"/>
        <w:ind w:right="67"/>
        <w:jc w:val="both"/>
        <w:rPr>
          <w:rFonts w:ascii="Bookman Old Style" w:eastAsiaTheme="minorEastAsia" w:hAnsi="Bookman Old Style" w:cs="Arial"/>
        </w:rPr>
      </w:pPr>
      <w:r w:rsidRPr="0010203D">
        <w:rPr>
          <w:rFonts w:ascii="Bookman Old Style" w:eastAsiaTheme="minorEastAsia" w:hAnsi="Bookman Old Style" w:cs="Arial"/>
        </w:rPr>
        <w:t>For-</w:t>
      </w:r>
      <w:r>
        <w:rPr>
          <w:rFonts w:ascii="Bookman Old Style" w:eastAsiaTheme="minorEastAsia" w:hAnsi="Bookman Old Style" w:cs="Arial"/>
        </w:rPr>
        <w:t>20</w:t>
      </w:r>
      <w:r w:rsidRPr="0010203D">
        <w:rPr>
          <w:rFonts w:ascii="Bookman Old Style" w:eastAsiaTheme="minorEastAsia" w:hAnsi="Bookman Old Style" w:cs="Arial"/>
        </w:rPr>
        <w:t xml:space="preserve">, to arrive at normative O&amp;M expenses, Commission considered Whole sale Price Index (WPI) </w:t>
      </w:r>
      <w:r>
        <w:rPr>
          <w:rFonts w:ascii="Bookman Old Style" w:eastAsiaTheme="minorEastAsia" w:hAnsi="Bookman Old Style" w:cs="Arial"/>
        </w:rPr>
        <w:t xml:space="preserve">as per the data available from the Ministry of Commerce &amp; Industry, Government of India and Consumer Price Index (CPI) as per the data available from the Labour Bureau, Government of India and adopted the methodology followed by CERC with CPI and WPI in a ratio of </w:t>
      </w:r>
      <w:r w:rsidRPr="0010203D">
        <w:rPr>
          <w:rFonts w:ascii="Bookman Old Style" w:eastAsiaTheme="minorEastAsia" w:hAnsi="Bookman Old Style" w:cs="Arial"/>
        </w:rPr>
        <w:t>80:20</w:t>
      </w:r>
      <w:r>
        <w:rPr>
          <w:rFonts w:ascii="Bookman Old Style" w:eastAsiaTheme="minorEastAsia" w:hAnsi="Bookman Old Style" w:cs="Arial"/>
        </w:rPr>
        <w:t>, allowing annual escalation rate for FY20 at 8.276%.</w:t>
      </w:r>
    </w:p>
    <w:p w:rsidR="00381ACE" w:rsidRDefault="00381ACE" w:rsidP="00E85457">
      <w:pPr>
        <w:spacing w:line="360" w:lineRule="auto"/>
        <w:ind w:right="67"/>
        <w:jc w:val="both"/>
        <w:rPr>
          <w:rFonts w:ascii="Bookman Old Style" w:eastAsiaTheme="minorEastAsia" w:hAnsi="Bookman Old Style" w:cs="Arial"/>
        </w:rPr>
      </w:pPr>
      <w:r w:rsidRPr="00031C3C">
        <w:rPr>
          <w:rFonts w:ascii="Bookman Old Style" w:eastAsiaTheme="minorEastAsia" w:hAnsi="Bookman Old Style" w:cs="Arial"/>
        </w:rPr>
        <w:t>Approved O&amp;M expenses for FY-</w:t>
      </w:r>
      <w:r>
        <w:rPr>
          <w:rFonts w:ascii="Bookman Old Style" w:eastAsiaTheme="minorEastAsia" w:hAnsi="Bookman Old Style" w:cs="Arial"/>
        </w:rPr>
        <w:t>20</w:t>
      </w:r>
      <w:r w:rsidRPr="00031C3C">
        <w:rPr>
          <w:rFonts w:ascii="Bookman Old Style" w:eastAsiaTheme="minorEastAsia" w:hAnsi="Bookman Old Style" w:cs="Arial"/>
        </w:rPr>
        <w:t xml:space="preserve"> as per Tariff Order </w:t>
      </w:r>
      <w:r>
        <w:rPr>
          <w:rFonts w:ascii="Bookman Old Style" w:eastAsiaTheme="minorEastAsia" w:hAnsi="Bookman Old Style" w:cs="Arial"/>
        </w:rPr>
        <w:t>2019</w:t>
      </w:r>
      <w:r w:rsidRPr="00031C3C">
        <w:rPr>
          <w:rFonts w:ascii="Bookman Old Style" w:eastAsiaTheme="minorEastAsia" w:hAnsi="Bookman Old Style" w:cs="Arial"/>
        </w:rPr>
        <w:t xml:space="preserve">, dated </w:t>
      </w:r>
      <w:r>
        <w:rPr>
          <w:rFonts w:ascii="Bookman Old Style" w:eastAsiaTheme="minorEastAsia" w:hAnsi="Bookman Old Style" w:cs="Arial"/>
        </w:rPr>
        <w:t>30.05.2019</w:t>
      </w:r>
      <w:r w:rsidRPr="00031C3C">
        <w:rPr>
          <w:rFonts w:ascii="Bookman Old Style" w:eastAsiaTheme="minorEastAsia" w:hAnsi="Bookman Old Style" w:cs="Arial"/>
        </w:rPr>
        <w:t xml:space="preserve"> is shown below:</w:t>
      </w:r>
    </w:p>
    <w:p w:rsidR="00092826" w:rsidRPr="00294DAD" w:rsidRDefault="00092826" w:rsidP="00092826">
      <w:pPr>
        <w:spacing w:line="360" w:lineRule="auto"/>
        <w:ind w:right="67"/>
        <w:jc w:val="center"/>
        <w:rPr>
          <w:rFonts w:ascii="Bookman Old Style" w:hAnsi="Bookman Old Style" w:cs="Calibri"/>
          <w:b/>
          <w:bCs/>
          <w:sz w:val="18"/>
          <w:lang w:eastAsia="en-IN"/>
        </w:rPr>
      </w:pPr>
      <w:r w:rsidRPr="00294DAD">
        <w:rPr>
          <w:rFonts w:ascii="Bookman Old Style" w:hAnsi="Bookman Old Style" w:cs="Calibri"/>
          <w:b/>
          <w:bCs/>
          <w:sz w:val="18"/>
          <w:lang w:eastAsia="en-IN"/>
        </w:rPr>
        <w:t>Table 3.</w:t>
      </w:r>
      <w:r w:rsidR="00081763">
        <w:rPr>
          <w:rFonts w:ascii="Bookman Old Style" w:hAnsi="Bookman Old Style" w:cs="Calibri"/>
          <w:b/>
          <w:bCs/>
          <w:sz w:val="18"/>
          <w:lang w:eastAsia="en-IN"/>
        </w:rPr>
        <w:t>19</w:t>
      </w:r>
    </w:p>
    <w:tbl>
      <w:tblPr>
        <w:tblW w:w="9465" w:type="dxa"/>
        <w:jc w:val="center"/>
        <w:tblLook w:val="04A0" w:firstRow="1" w:lastRow="0" w:firstColumn="1" w:lastColumn="0" w:noHBand="0" w:noVBand="1"/>
      </w:tblPr>
      <w:tblGrid>
        <w:gridCol w:w="2957"/>
        <w:gridCol w:w="1256"/>
        <w:gridCol w:w="1683"/>
        <w:gridCol w:w="1630"/>
        <w:gridCol w:w="1939"/>
      </w:tblGrid>
      <w:tr w:rsidR="00337006" w:rsidRPr="005A3EB0" w:rsidTr="0028515D">
        <w:trPr>
          <w:trHeight w:hRule="exact" w:val="259"/>
          <w:jc w:val="center"/>
        </w:trPr>
        <w:tc>
          <w:tcPr>
            <w:tcW w:w="2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006" w:rsidRPr="005A3EB0" w:rsidRDefault="00337006" w:rsidP="00337006">
            <w:pPr>
              <w:spacing w:after="0" w:line="240" w:lineRule="auto"/>
              <w:rPr>
                <w:rFonts w:ascii="Bookman Old Style" w:eastAsia="Times New Roman" w:hAnsi="Bookman Old Style" w:cs="Calibri"/>
                <w:b/>
                <w:bCs/>
                <w:color w:val="000000"/>
                <w:lang w:eastAsia="en-IN"/>
              </w:rPr>
            </w:pPr>
            <w:r w:rsidRPr="005A3EB0">
              <w:rPr>
                <w:rFonts w:ascii="Bookman Old Style" w:eastAsia="Times New Roman" w:hAnsi="Bookman Old Style" w:cs="Calibri"/>
                <w:b/>
                <w:bCs/>
                <w:color w:val="000000"/>
                <w:lang w:val="en-US" w:eastAsia="en-IN"/>
              </w:rPr>
              <w:t>Particulars</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337006" w:rsidRPr="005A3EB0" w:rsidRDefault="00337006" w:rsidP="009D1757">
            <w:pPr>
              <w:spacing w:after="0" w:line="240" w:lineRule="auto"/>
              <w:rPr>
                <w:rFonts w:ascii="Bookman Old Style" w:eastAsia="Times New Roman" w:hAnsi="Bookman Old Style" w:cs="Calibri"/>
                <w:b/>
                <w:bCs/>
                <w:color w:val="000000"/>
                <w:lang w:eastAsia="en-IN"/>
              </w:rPr>
            </w:pPr>
            <w:r w:rsidRPr="005A3EB0">
              <w:rPr>
                <w:rFonts w:ascii="Bookman Old Style" w:eastAsia="Times New Roman" w:hAnsi="Bookman Old Style" w:cs="Calibri"/>
                <w:b/>
                <w:bCs/>
                <w:color w:val="000000"/>
                <w:lang w:val="en-US" w:eastAsia="en-IN"/>
              </w:rPr>
              <w:t>FY</w:t>
            </w:r>
            <w:r w:rsidR="009D1757" w:rsidRPr="005A3EB0">
              <w:rPr>
                <w:rFonts w:ascii="Bookman Old Style" w:eastAsia="Times New Roman" w:hAnsi="Bookman Old Style" w:cs="Calibri"/>
                <w:b/>
                <w:bCs/>
                <w:color w:val="000000"/>
                <w:lang w:val="en-US" w:eastAsia="en-IN"/>
              </w:rPr>
              <w:t>-</w:t>
            </w:r>
            <w:r w:rsidRPr="005A3EB0">
              <w:rPr>
                <w:rFonts w:ascii="Bookman Old Style" w:eastAsia="Times New Roman" w:hAnsi="Bookman Old Style" w:cs="Calibri"/>
                <w:b/>
                <w:bCs/>
                <w:color w:val="000000"/>
                <w:lang w:val="en-US" w:eastAsia="en-IN"/>
              </w:rPr>
              <w:t>19</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37006" w:rsidRPr="005A3EB0" w:rsidRDefault="00337006" w:rsidP="00337006">
            <w:pPr>
              <w:spacing w:after="0" w:line="240" w:lineRule="auto"/>
              <w:ind w:firstLineChars="200" w:firstLine="442"/>
              <w:rPr>
                <w:rFonts w:ascii="Bookman Old Style" w:eastAsia="Times New Roman" w:hAnsi="Bookman Old Style" w:cs="Calibri"/>
                <w:b/>
                <w:bCs/>
                <w:color w:val="000000"/>
                <w:lang w:eastAsia="en-IN"/>
              </w:rPr>
            </w:pPr>
            <w:r w:rsidRPr="005A3EB0">
              <w:rPr>
                <w:rFonts w:ascii="Bookman Old Style" w:eastAsia="Times New Roman" w:hAnsi="Bookman Old Style" w:cs="Calibri"/>
                <w:b/>
                <w:bCs/>
                <w:color w:val="000000"/>
                <w:lang w:val="en-US" w:eastAsia="en-IN"/>
              </w:rPr>
              <w:t>FY-20</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337006" w:rsidRPr="005A3EB0" w:rsidRDefault="00337006" w:rsidP="00337006">
            <w:pPr>
              <w:spacing w:after="0" w:line="240" w:lineRule="auto"/>
              <w:ind w:firstLineChars="200" w:firstLine="442"/>
              <w:rPr>
                <w:rFonts w:ascii="Bookman Old Style" w:eastAsia="Times New Roman" w:hAnsi="Bookman Old Style" w:cs="Calibri"/>
                <w:b/>
                <w:bCs/>
                <w:color w:val="000000"/>
                <w:lang w:eastAsia="en-IN"/>
              </w:rPr>
            </w:pPr>
            <w:r w:rsidRPr="005A3EB0">
              <w:rPr>
                <w:rFonts w:ascii="Bookman Old Style" w:eastAsia="Times New Roman" w:hAnsi="Bookman Old Style" w:cs="Calibri"/>
                <w:b/>
                <w:bCs/>
                <w:color w:val="000000"/>
                <w:lang w:val="en-US" w:eastAsia="en-IN"/>
              </w:rPr>
              <w:t>FY-21</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337006" w:rsidRPr="005A3EB0" w:rsidRDefault="00337006" w:rsidP="00337006">
            <w:pPr>
              <w:spacing w:after="0" w:line="240" w:lineRule="auto"/>
              <w:ind w:firstLineChars="200" w:firstLine="442"/>
              <w:rPr>
                <w:rFonts w:ascii="Bookman Old Style" w:eastAsia="Times New Roman" w:hAnsi="Bookman Old Style" w:cs="Calibri"/>
                <w:b/>
                <w:bCs/>
                <w:color w:val="000000"/>
                <w:lang w:eastAsia="en-IN"/>
              </w:rPr>
            </w:pPr>
            <w:r w:rsidRPr="005A3EB0">
              <w:rPr>
                <w:rFonts w:ascii="Bookman Old Style" w:eastAsia="Times New Roman" w:hAnsi="Bookman Old Style" w:cs="Calibri"/>
                <w:b/>
                <w:bCs/>
                <w:color w:val="000000"/>
                <w:lang w:val="en-US" w:eastAsia="en-IN"/>
              </w:rPr>
              <w:t>FY-22</w:t>
            </w:r>
          </w:p>
        </w:tc>
      </w:tr>
      <w:tr w:rsidR="00337006" w:rsidRPr="005A3EB0" w:rsidTr="0028515D">
        <w:trPr>
          <w:trHeight w:hRule="exact" w:val="410"/>
          <w:jc w:val="center"/>
        </w:trPr>
        <w:tc>
          <w:tcPr>
            <w:tcW w:w="2957" w:type="dxa"/>
            <w:tcBorders>
              <w:top w:val="nil"/>
              <w:left w:val="single" w:sz="4" w:space="0" w:color="auto"/>
              <w:bottom w:val="single" w:sz="4" w:space="0" w:color="auto"/>
              <w:right w:val="single" w:sz="4" w:space="0" w:color="auto"/>
            </w:tcBorders>
            <w:shd w:val="clear" w:color="auto" w:fill="auto"/>
            <w:vAlign w:val="center"/>
            <w:hideMark/>
          </w:tcPr>
          <w:p w:rsidR="00337006" w:rsidRPr="005A3EB0" w:rsidRDefault="00337006" w:rsidP="00337006">
            <w:pPr>
              <w:spacing w:after="0" w:line="240" w:lineRule="auto"/>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lang w:val="en-US" w:eastAsia="en-IN"/>
              </w:rPr>
              <w:t>No. of Installations</w:t>
            </w:r>
          </w:p>
        </w:tc>
        <w:tc>
          <w:tcPr>
            <w:tcW w:w="1256" w:type="dxa"/>
            <w:tcBorders>
              <w:top w:val="nil"/>
              <w:left w:val="nil"/>
              <w:bottom w:val="single" w:sz="4" w:space="0" w:color="auto"/>
              <w:right w:val="single" w:sz="4" w:space="0" w:color="auto"/>
            </w:tcBorders>
            <w:shd w:val="clear" w:color="auto" w:fill="auto"/>
            <w:vAlign w:val="center"/>
            <w:hideMark/>
          </w:tcPr>
          <w:p w:rsidR="00337006" w:rsidRPr="005A3EB0" w:rsidRDefault="00337006" w:rsidP="00BD7749">
            <w:pPr>
              <w:spacing w:after="0" w:line="240" w:lineRule="auto"/>
              <w:jc w:val="right"/>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lang w:eastAsia="en-IN"/>
              </w:rPr>
              <w:t> </w:t>
            </w:r>
          </w:p>
        </w:tc>
        <w:tc>
          <w:tcPr>
            <w:tcW w:w="1683" w:type="dxa"/>
            <w:tcBorders>
              <w:top w:val="nil"/>
              <w:left w:val="nil"/>
              <w:bottom w:val="single" w:sz="4" w:space="0" w:color="auto"/>
              <w:right w:val="single" w:sz="4" w:space="0" w:color="auto"/>
            </w:tcBorders>
            <w:shd w:val="clear" w:color="auto" w:fill="auto"/>
            <w:vAlign w:val="center"/>
            <w:hideMark/>
          </w:tcPr>
          <w:p w:rsidR="00337006" w:rsidRPr="005A3EB0" w:rsidRDefault="009D1757" w:rsidP="009D1757">
            <w:pPr>
              <w:spacing w:after="0" w:line="240" w:lineRule="auto"/>
              <w:jc w:val="right"/>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w w:val="95"/>
                <w:lang w:val="en-US" w:eastAsia="en-IN"/>
              </w:rPr>
              <w:t>123</w:t>
            </w:r>
            <w:r w:rsidR="00337006" w:rsidRPr="005A3EB0">
              <w:rPr>
                <w:rFonts w:ascii="Bookman Old Style" w:eastAsia="Times New Roman" w:hAnsi="Bookman Old Style" w:cs="Calibri"/>
                <w:color w:val="000000"/>
                <w:w w:val="95"/>
                <w:lang w:val="en-US" w:eastAsia="en-IN"/>
              </w:rPr>
              <w:t>98151</w:t>
            </w:r>
          </w:p>
        </w:tc>
        <w:tc>
          <w:tcPr>
            <w:tcW w:w="1630" w:type="dxa"/>
            <w:tcBorders>
              <w:top w:val="nil"/>
              <w:left w:val="nil"/>
              <w:bottom w:val="single" w:sz="4" w:space="0" w:color="auto"/>
              <w:right w:val="single" w:sz="4" w:space="0" w:color="auto"/>
            </w:tcBorders>
            <w:shd w:val="clear" w:color="auto" w:fill="auto"/>
            <w:vAlign w:val="center"/>
            <w:hideMark/>
          </w:tcPr>
          <w:p w:rsidR="00337006" w:rsidRPr="005A3EB0" w:rsidRDefault="00337006" w:rsidP="009D1757">
            <w:pPr>
              <w:spacing w:after="0" w:line="240" w:lineRule="auto"/>
              <w:jc w:val="right"/>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w w:val="95"/>
                <w:lang w:val="en-US" w:eastAsia="en-IN"/>
              </w:rPr>
              <w:t>13070613</w:t>
            </w:r>
          </w:p>
        </w:tc>
        <w:tc>
          <w:tcPr>
            <w:tcW w:w="1939" w:type="dxa"/>
            <w:tcBorders>
              <w:top w:val="nil"/>
              <w:left w:val="nil"/>
              <w:bottom w:val="single" w:sz="4" w:space="0" w:color="auto"/>
              <w:right w:val="single" w:sz="4" w:space="0" w:color="auto"/>
            </w:tcBorders>
            <w:shd w:val="clear" w:color="auto" w:fill="auto"/>
            <w:vAlign w:val="center"/>
            <w:hideMark/>
          </w:tcPr>
          <w:p w:rsidR="00337006" w:rsidRPr="005A3EB0" w:rsidRDefault="00337006" w:rsidP="009D1757">
            <w:pPr>
              <w:spacing w:after="0" w:line="240" w:lineRule="auto"/>
              <w:jc w:val="right"/>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w w:val="95"/>
                <w:lang w:val="en-US" w:eastAsia="en-IN"/>
              </w:rPr>
              <w:t>13786156</w:t>
            </w:r>
          </w:p>
        </w:tc>
      </w:tr>
      <w:tr w:rsidR="00337006" w:rsidRPr="005A3EB0" w:rsidTr="0028515D">
        <w:trPr>
          <w:trHeight w:hRule="exact" w:val="519"/>
          <w:jc w:val="center"/>
        </w:trPr>
        <w:tc>
          <w:tcPr>
            <w:tcW w:w="2957" w:type="dxa"/>
            <w:tcBorders>
              <w:top w:val="nil"/>
              <w:left w:val="single" w:sz="4" w:space="0" w:color="auto"/>
              <w:bottom w:val="single" w:sz="4" w:space="0" w:color="auto"/>
              <w:right w:val="single" w:sz="4" w:space="0" w:color="auto"/>
            </w:tcBorders>
            <w:shd w:val="clear" w:color="auto" w:fill="auto"/>
            <w:vAlign w:val="center"/>
            <w:hideMark/>
          </w:tcPr>
          <w:p w:rsidR="00337006" w:rsidRPr="005A3EB0" w:rsidRDefault="00337006" w:rsidP="00337006">
            <w:pPr>
              <w:spacing w:after="0" w:line="240" w:lineRule="auto"/>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lang w:val="en-US" w:eastAsia="en-IN"/>
              </w:rPr>
              <w:t>CGI based on 3 Year CAGR</w:t>
            </w:r>
          </w:p>
        </w:tc>
        <w:tc>
          <w:tcPr>
            <w:tcW w:w="1256" w:type="dxa"/>
            <w:tcBorders>
              <w:top w:val="nil"/>
              <w:left w:val="nil"/>
              <w:bottom w:val="single" w:sz="4" w:space="0" w:color="auto"/>
              <w:right w:val="single" w:sz="4" w:space="0" w:color="auto"/>
            </w:tcBorders>
            <w:shd w:val="clear" w:color="auto" w:fill="auto"/>
            <w:vAlign w:val="center"/>
            <w:hideMark/>
          </w:tcPr>
          <w:p w:rsidR="00337006" w:rsidRPr="005A3EB0" w:rsidRDefault="00337006" w:rsidP="00BD7749">
            <w:pPr>
              <w:spacing w:after="0" w:line="240" w:lineRule="auto"/>
              <w:jc w:val="right"/>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lang w:eastAsia="en-IN"/>
              </w:rPr>
              <w:t> </w:t>
            </w:r>
          </w:p>
        </w:tc>
        <w:tc>
          <w:tcPr>
            <w:tcW w:w="1683" w:type="dxa"/>
            <w:tcBorders>
              <w:top w:val="nil"/>
              <w:left w:val="nil"/>
              <w:bottom w:val="single" w:sz="4" w:space="0" w:color="auto"/>
              <w:right w:val="single" w:sz="4" w:space="0" w:color="auto"/>
            </w:tcBorders>
            <w:shd w:val="clear" w:color="auto" w:fill="auto"/>
            <w:vAlign w:val="center"/>
            <w:hideMark/>
          </w:tcPr>
          <w:p w:rsidR="00337006" w:rsidRPr="005A3EB0" w:rsidRDefault="00337006" w:rsidP="00BD7749">
            <w:pPr>
              <w:spacing w:after="0" w:line="240" w:lineRule="auto"/>
              <w:jc w:val="right"/>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w w:val="95"/>
                <w:lang w:val="en-US" w:eastAsia="en-IN"/>
              </w:rPr>
              <w:t>5.05%</w:t>
            </w:r>
          </w:p>
        </w:tc>
        <w:tc>
          <w:tcPr>
            <w:tcW w:w="1630" w:type="dxa"/>
            <w:tcBorders>
              <w:top w:val="nil"/>
              <w:left w:val="nil"/>
              <w:bottom w:val="single" w:sz="4" w:space="0" w:color="auto"/>
              <w:right w:val="single" w:sz="4" w:space="0" w:color="auto"/>
            </w:tcBorders>
            <w:shd w:val="clear" w:color="auto" w:fill="auto"/>
            <w:vAlign w:val="center"/>
            <w:hideMark/>
          </w:tcPr>
          <w:p w:rsidR="00337006" w:rsidRPr="005A3EB0" w:rsidRDefault="00337006" w:rsidP="00BD7749">
            <w:pPr>
              <w:spacing w:after="0" w:line="240" w:lineRule="auto"/>
              <w:jc w:val="right"/>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lang w:val="en-US" w:eastAsia="en-IN"/>
              </w:rPr>
              <w:t>5.14%</w:t>
            </w:r>
          </w:p>
        </w:tc>
        <w:tc>
          <w:tcPr>
            <w:tcW w:w="1939" w:type="dxa"/>
            <w:tcBorders>
              <w:top w:val="nil"/>
              <w:left w:val="nil"/>
              <w:bottom w:val="single" w:sz="4" w:space="0" w:color="auto"/>
              <w:right w:val="single" w:sz="4" w:space="0" w:color="auto"/>
            </w:tcBorders>
            <w:shd w:val="clear" w:color="auto" w:fill="auto"/>
            <w:vAlign w:val="center"/>
            <w:hideMark/>
          </w:tcPr>
          <w:p w:rsidR="00337006" w:rsidRPr="005A3EB0" w:rsidRDefault="00337006" w:rsidP="00BD7749">
            <w:pPr>
              <w:spacing w:after="0" w:line="240" w:lineRule="auto"/>
              <w:jc w:val="right"/>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w w:val="95"/>
                <w:lang w:val="en-US" w:eastAsia="en-IN"/>
              </w:rPr>
              <w:t>5.42%</w:t>
            </w:r>
          </w:p>
        </w:tc>
      </w:tr>
      <w:tr w:rsidR="00337006" w:rsidRPr="005A3EB0" w:rsidTr="0028515D">
        <w:trPr>
          <w:trHeight w:hRule="exact" w:val="259"/>
          <w:jc w:val="center"/>
        </w:trPr>
        <w:tc>
          <w:tcPr>
            <w:tcW w:w="2957" w:type="dxa"/>
            <w:tcBorders>
              <w:top w:val="nil"/>
              <w:left w:val="single" w:sz="4" w:space="0" w:color="auto"/>
              <w:bottom w:val="single" w:sz="4" w:space="0" w:color="auto"/>
              <w:right w:val="single" w:sz="4" w:space="0" w:color="auto"/>
            </w:tcBorders>
            <w:shd w:val="clear" w:color="auto" w:fill="auto"/>
            <w:vAlign w:val="center"/>
            <w:hideMark/>
          </w:tcPr>
          <w:p w:rsidR="00337006" w:rsidRPr="005A3EB0" w:rsidRDefault="00337006" w:rsidP="00337006">
            <w:pPr>
              <w:spacing w:after="0" w:line="240" w:lineRule="auto"/>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lang w:val="en-US" w:eastAsia="en-IN"/>
              </w:rPr>
              <w:t>Inflation index</w:t>
            </w:r>
          </w:p>
        </w:tc>
        <w:tc>
          <w:tcPr>
            <w:tcW w:w="1256" w:type="dxa"/>
            <w:tcBorders>
              <w:top w:val="nil"/>
              <w:left w:val="nil"/>
              <w:bottom w:val="single" w:sz="4" w:space="0" w:color="auto"/>
              <w:right w:val="single" w:sz="4" w:space="0" w:color="auto"/>
            </w:tcBorders>
            <w:shd w:val="clear" w:color="auto" w:fill="auto"/>
            <w:vAlign w:val="center"/>
            <w:hideMark/>
          </w:tcPr>
          <w:p w:rsidR="00337006" w:rsidRPr="005A3EB0" w:rsidRDefault="00337006" w:rsidP="00BD7749">
            <w:pPr>
              <w:spacing w:after="0" w:line="240" w:lineRule="auto"/>
              <w:jc w:val="right"/>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lang w:eastAsia="en-IN"/>
              </w:rPr>
              <w:t> </w:t>
            </w:r>
          </w:p>
        </w:tc>
        <w:tc>
          <w:tcPr>
            <w:tcW w:w="1683" w:type="dxa"/>
            <w:tcBorders>
              <w:top w:val="nil"/>
              <w:left w:val="nil"/>
              <w:bottom w:val="single" w:sz="4" w:space="0" w:color="auto"/>
              <w:right w:val="single" w:sz="4" w:space="0" w:color="auto"/>
            </w:tcBorders>
            <w:shd w:val="clear" w:color="auto" w:fill="auto"/>
            <w:vAlign w:val="center"/>
            <w:hideMark/>
          </w:tcPr>
          <w:p w:rsidR="00337006" w:rsidRPr="005A3EB0" w:rsidRDefault="00337006" w:rsidP="00BD7749">
            <w:pPr>
              <w:spacing w:after="0" w:line="240" w:lineRule="auto"/>
              <w:jc w:val="right"/>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lang w:val="en-US" w:eastAsia="en-IN"/>
              </w:rPr>
              <w:t>8.28%</w:t>
            </w:r>
          </w:p>
        </w:tc>
        <w:tc>
          <w:tcPr>
            <w:tcW w:w="1630" w:type="dxa"/>
            <w:tcBorders>
              <w:top w:val="nil"/>
              <w:left w:val="nil"/>
              <w:bottom w:val="single" w:sz="4" w:space="0" w:color="auto"/>
              <w:right w:val="single" w:sz="4" w:space="0" w:color="auto"/>
            </w:tcBorders>
            <w:shd w:val="clear" w:color="auto" w:fill="auto"/>
            <w:vAlign w:val="center"/>
            <w:hideMark/>
          </w:tcPr>
          <w:p w:rsidR="00337006" w:rsidRPr="005A3EB0" w:rsidRDefault="00337006" w:rsidP="00BD7749">
            <w:pPr>
              <w:spacing w:after="0" w:line="240" w:lineRule="auto"/>
              <w:jc w:val="right"/>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lang w:val="en-US" w:eastAsia="en-IN"/>
              </w:rPr>
              <w:t>8.28%</w:t>
            </w:r>
          </w:p>
        </w:tc>
        <w:tc>
          <w:tcPr>
            <w:tcW w:w="1939" w:type="dxa"/>
            <w:tcBorders>
              <w:top w:val="nil"/>
              <w:left w:val="nil"/>
              <w:bottom w:val="single" w:sz="4" w:space="0" w:color="auto"/>
              <w:right w:val="single" w:sz="4" w:space="0" w:color="auto"/>
            </w:tcBorders>
            <w:shd w:val="clear" w:color="auto" w:fill="auto"/>
            <w:vAlign w:val="center"/>
            <w:hideMark/>
          </w:tcPr>
          <w:p w:rsidR="00337006" w:rsidRPr="005A3EB0" w:rsidRDefault="00337006" w:rsidP="00BD7749">
            <w:pPr>
              <w:spacing w:after="0" w:line="240" w:lineRule="auto"/>
              <w:jc w:val="right"/>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lang w:val="en-US" w:eastAsia="en-IN"/>
              </w:rPr>
              <w:t>8.28%</w:t>
            </w:r>
          </w:p>
        </w:tc>
      </w:tr>
      <w:tr w:rsidR="00BD7749" w:rsidRPr="005A3EB0" w:rsidTr="0028515D">
        <w:trPr>
          <w:trHeight w:hRule="exact" w:val="823"/>
          <w:jc w:val="center"/>
        </w:trPr>
        <w:tc>
          <w:tcPr>
            <w:tcW w:w="2957" w:type="dxa"/>
            <w:tcBorders>
              <w:top w:val="nil"/>
              <w:left w:val="single" w:sz="4" w:space="0" w:color="auto"/>
              <w:bottom w:val="single" w:sz="4" w:space="0" w:color="auto"/>
              <w:right w:val="single" w:sz="4" w:space="0" w:color="auto"/>
            </w:tcBorders>
            <w:shd w:val="clear" w:color="auto" w:fill="auto"/>
            <w:vAlign w:val="center"/>
            <w:hideMark/>
          </w:tcPr>
          <w:p w:rsidR="00BD7749" w:rsidRPr="005A3EB0" w:rsidRDefault="00BD7749" w:rsidP="00337006">
            <w:pPr>
              <w:spacing w:after="0" w:line="240" w:lineRule="auto"/>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lang w:val="en-US" w:eastAsia="en-IN"/>
              </w:rPr>
              <w:t>Base Year O&amp;M expenses (as per actuals of FY-19)- Rs. Crs</w:t>
            </w:r>
          </w:p>
        </w:tc>
        <w:tc>
          <w:tcPr>
            <w:tcW w:w="1256" w:type="dxa"/>
            <w:tcBorders>
              <w:top w:val="nil"/>
              <w:left w:val="nil"/>
              <w:bottom w:val="single" w:sz="4" w:space="0" w:color="auto"/>
              <w:right w:val="single" w:sz="4" w:space="0" w:color="auto"/>
            </w:tcBorders>
            <w:shd w:val="clear" w:color="auto" w:fill="auto"/>
            <w:vAlign w:val="center"/>
          </w:tcPr>
          <w:p w:rsidR="00BD7749" w:rsidRPr="005A3EB0" w:rsidRDefault="0028515D" w:rsidP="00BD7749">
            <w:pPr>
              <w:spacing w:after="0" w:line="240" w:lineRule="auto"/>
              <w:jc w:val="right"/>
              <w:rPr>
                <w:rFonts w:ascii="Bookman Old Style" w:eastAsia="Times New Roman" w:hAnsi="Bookman Old Style" w:cs="Calibri"/>
                <w:color w:val="000000"/>
                <w:lang w:eastAsia="en-IN"/>
              </w:rPr>
            </w:pPr>
            <w:r>
              <w:rPr>
                <w:rFonts w:ascii="Bookman Old Style" w:eastAsia="Times New Roman" w:hAnsi="Bookman Old Style" w:cs="Calibri"/>
                <w:color w:val="000000"/>
                <w:lang w:eastAsia="en-IN"/>
              </w:rPr>
              <w:t>1683.21</w:t>
            </w:r>
          </w:p>
        </w:tc>
        <w:tc>
          <w:tcPr>
            <w:tcW w:w="1683" w:type="dxa"/>
            <w:tcBorders>
              <w:top w:val="nil"/>
              <w:left w:val="nil"/>
              <w:bottom w:val="single" w:sz="4" w:space="0" w:color="auto"/>
              <w:right w:val="single" w:sz="4" w:space="0" w:color="auto"/>
            </w:tcBorders>
            <w:shd w:val="clear" w:color="auto" w:fill="auto"/>
            <w:vAlign w:val="center"/>
          </w:tcPr>
          <w:p w:rsidR="00BD7749" w:rsidRPr="005A3EB0" w:rsidRDefault="00BD7749" w:rsidP="00BD7749">
            <w:pPr>
              <w:spacing w:after="0" w:line="240" w:lineRule="auto"/>
              <w:jc w:val="right"/>
              <w:rPr>
                <w:rFonts w:ascii="Bookman Old Style" w:eastAsia="Times New Roman" w:hAnsi="Bookman Old Style" w:cs="Calibri"/>
                <w:color w:val="000000"/>
                <w:lang w:eastAsia="en-IN"/>
              </w:rPr>
            </w:pPr>
          </w:p>
        </w:tc>
        <w:tc>
          <w:tcPr>
            <w:tcW w:w="1630" w:type="dxa"/>
            <w:tcBorders>
              <w:top w:val="nil"/>
              <w:left w:val="nil"/>
              <w:bottom w:val="single" w:sz="4" w:space="0" w:color="auto"/>
              <w:right w:val="single" w:sz="4" w:space="0" w:color="auto"/>
            </w:tcBorders>
            <w:shd w:val="clear" w:color="auto" w:fill="auto"/>
            <w:vAlign w:val="center"/>
            <w:hideMark/>
          </w:tcPr>
          <w:p w:rsidR="00BD7749" w:rsidRPr="005A3EB0" w:rsidRDefault="00BD7749" w:rsidP="00BD7749">
            <w:pPr>
              <w:spacing w:after="0" w:line="240" w:lineRule="auto"/>
              <w:jc w:val="right"/>
              <w:rPr>
                <w:rFonts w:ascii="Bookman Old Style" w:eastAsia="Times New Roman" w:hAnsi="Bookman Old Style" w:cs="Calibri"/>
                <w:color w:val="000000"/>
                <w:lang w:eastAsia="en-IN"/>
              </w:rPr>
            </w:pPr>
          </w:p>
        </w:tc>
        <w:tc>
          <w:tcPr>
            <w:tcW w:w="1939" w:type="dxa"/>
            <w:tcBorders>
              <w:top w:val="nil"/>
              <w:left w:val="nil"/>
              <w:bottom w:val="single" w:sz="4" w:space="0" w:color="auto"/>
              <w:right w:val="single" w:sz="4" w:space="0" w:color="auto"/>
            </w:tcBorders>
            <w:shd w:val="clear" w:color="auto" w:fill="auto"/>
            <w:vAlign w:val="center"/>
            <w:hideMark/>
          </w:tcPr>
          <w:p w:rsidR="00BD7749" w:rsidRPr="005A3EB0" w:rsidRDefault="00BD7749" w:rsidP="00BD7749">
            <w:pPr>
              <w:spacing w:after="0" w:line="240" w:lineRule="auto"/>
              <w:jc w:val="right"/>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lang w:eastAsia="en-IN"/>
              </w:rPr>
              <w:t> </w:t>
            </w:r>
          </w:p>
        </w:tc>
      </w:tr>
      <w:tr w:rsidR="00BD7749" w:rsidRPr="00337006" w:rsidTr="0028515D">
        <w:trPr>
          <w:trHeight w:hRule="exact" w:val="707"/>
          <w:jc w:val="center"/>
        </w:trPr>
        <w:tc>
          <w:tcPr>
            <w:tcW w:w="2957" w:type="dxa"/>
            <w:tcBorders>
              <w:top w:val="nil"/>
              <w:left w:val="single" w:sz="4" w:space="0" w:color="auto"/>
              <w:bottom w:val="single" w:sz="4" w:space="0" w:color="auto"/>
              <w:right w:val="single" w:sz="4" w:space="0" w:color="auto"/>
            </w:tcBorders>
            <w:shd w:val="clear" w:color="auto" w:fill="auto"/>
            <w:vAlign w:val="center"/>
            <w:hideMark/>
          </w:tcPr>
          <w:p w:rsidR="00BD7749" w:rsidRPr="005A3EB0" w:rsidRDefault="00BD7749" w:rsidP="00DB0E5D">
            <w:pPr>
              <w:spacing w:after="0" w:line="240" w:lineRule="auto"/>
              <w:rPr>
                <w:rFonts w:ascii="Bookman Old Style" w:eastAsia="Times New Roman" w:hAnsi="Bookman Old Style" w:cs="Calibri"/>
                <w:b/>
                <w:bCs/>
                <w:color w:val="000000"/>
                <w:lang w:eastAsia="en-IN"/>
              </w:rPr>
            </w:pPr>
            <w:r w:rsidRPr="005A3EB0">
              <w:rPr>
                <w:rFonts w:ascii="Bookman Old Style" w:eastAsia="Times New Roman" w:hAnsi="Bookman Old Style" w:cs="Calibri"/>
                <w:b/>
                <w:bCs/>
                <w:color w:val="000000"/>
                <w:lang w:val="en-US" w:eastAsia="en-IN"/>
              </w:rPr>
              <w:t>Total allowable O&amp;M Expenses-Rs. Crs</w:t>
            </w:r>
          </w:p>
        </w:tc>
        <w:tc>
          <w:tcPr>
            <w:tcW w:w="1256" w:type="dxa"/>
            <w:tcBorders>
              <w:top w:val="nil"/>
              <w:left w:val="nil"/>
              <w:bottom w:val="single" w:sz="4" w:space="0" w:color="auto"/>
              <w:right w:val="single" w:sz="4" w:space="0" w:color="auto"/>
            </w:tcBorders>
            <w:shd w:val="clear" w:color="auto" w:fill="auto"/>
            <w:vAlign w:val="center"/>
            <w:hideMark/>
          </w:tcPr>
          <w:p w:rsidR="00BD7749" w:rsidRPr="005A3EB0" w:rsidRDefault="00BD7749" w:rsidP="00BD7749">
            <w:pPr>
              <w:spacing w:after="0" w:line="240" w:lineRule="auto"/>
              <w:jc w:val="right"/>
              <w:rPr>
                <w:rFonts w:ascii="Bookman Old Style" w:eastAsia="Times New Roman" w:hAnsi="Bookman Old Style" w:cs="Calibri"/>
                <w:color w:val="000000"/>
                <w:lang w:eastAsia="en-IN"/>
              </w:rPr>
            </w:pPr>
            <w:r w:rsidRPr="005A3EB0">
              <w:rPr>
                <w:rFonts w:ascii="Bookman Old Style" w:eastAsia="Times New Roman" w:hAnsi="Bookman Old Style" w:cs="Calibri"/>
                <w:color w:val="000000"/>
                <w:lang w:eastAsia="en-IN"/>
              </w:rPr>
              <w:t> </w:t>
            </w:r>
          </w:p>
        </w:tc>
        <w:tc>
          <w:tcPr>
            <w:tcW w:w="1683" w:type="dxa"/>
            <w:tcBorders>
              <w:top w:val="nil"/>
              <w:left w:val="nil"/>
              <w:bottom w:val="single" w:sz="4" w:space="0" w:color="auto"/>
              <w:right w:val="single" w:sz="4" w:space="0" w:color="auto"/>
            </w:tcBorders>
            <w:shd w:val="clear" w:color="auto" w:fill="auto"/>
            <w:vAlign w:val="center"/>
            <w:hideMark/>
          </w:tcPr>
          <w:p w:rsidR="00BD7749" w:rsidRPr="005A3EB0" w:rsidRDefault="00BD7749" w:rsidP="00BD7749">
            <w:pPr>
              <w:spacing w:after="0" w:line="240" w:lineRule="auto"/>
              <w:jc w:val="right"/>
              <w:rPr>
                <w:rFonts w:ascii="Bookman Old Style" w:eastAsia="Times New Roman" w:hAnsi="Bookman Old Style" w:cs="Calibri"/>
                <w:b/>
                <w:bCs/>
                <w:color w:val="000000"/>
                <w:lang w:eastAsia="en-IN"/>
              </w:rPr>
            </w:pPr>
            <w:r w:rsidRPr="005A3EB0">
              <w:rPr>
                <w:rFonts w:ascii="Bookman Old Style" w:eastAsia="Times New Roman" w:hAnsi="Bookman Old Style" w:cs="Calibri"/>
                <w:b/>
                <w:bCs/>
                <w:color w:val="000000"/>
                <w:lang w:eastAsia="en-IN"/>
              </w:rPr>
              <w:t>1890.61</w:t>
            </w:r>
          </w:p>
        </w:tc>
        <w:tc>
          <w:tcPr>
            <w:tcW w:w="1630" w:type="dxa"/>
            <w:tcBorders>
              <w:top w:val="nil"/>
              <w:left w:val="nil"/>
              <w:bottom w:val="single" w:sz="4" w:space="0" w:color="auto"/>
              <w:right w:val="single" w:sz="4" w:space="0" w:color="auto"/>
            </w:tcBorders>
            <w:shd w:val="clear" w:color="auto" w:fill="auto"/>
            <w:vAlign w:val="center"/>
            <w:hideMark/>
          </w:tcPr>
          <w:p w:rsidR="00BD7749" w:rsidRPr="005A3EB0" w:rsidRDefault="00BD7749" w:rsidP="00BD7749">
            <w:pPr>
              <w:spacing w:after="0" w:line="240" w:lineRule="auto"/>
              <w:jc w:val="right"/>
              <w:rPr>
                <w:rFonts w:ascii="Bookman Old Style" w:eastAsia="Times New Roman" w:hAnsi="Bookman Old Style" w:cs="Calibri"/>
                <w:b/>
                <w:bCs/>
                <w:color w:val="000000"/>
                <w:lang w:eastAsia="en-IN"/>
              </w:rPr>
            </w:pPr>
            <w:r w:rsidRPr="005A3EB0">
              <w:rPr>
                <w:rFonts w:ascii="Bookman Old Style" w:eastAsia="Times New Roman" w:hAnsi="Bookman Old Style" w:cs="Calibri"/>
                <w:b/>
                <w:bCs/>
                <w:color w:val="000000"/>
                <w:lang w:val="en-US" w:eastAsia="en-IN"/>
              </w:rPr>
              <w:t>2125.41</w:t>
            </w:r>
          </w:p>
        </w:tc>
        <w:tc>
          <w:tcPr>
            <w:tcW w:w="1939" w:type="dxa"/>
            <w:tcBorders>
              <w:top w:val="nil"/>
              <w:left w:val="nil"/>
              <w:bottom w:val="single" w:sz="4" w:space="0" w:color="auto"/>
              <w:right w:val="single" w:sz="4" w:space="0" w:color="auto"/>
            </w:tcBorders>
            <w:shd w:val="clear" w:color="auto" w:fill="auto"/>
            <w:vAlign w:val="center"/>
            <w:hideMark/>
          </w:tcPr>
          <w:p w:rsidR="00BD7749" w:rsidRPr="00337006" w:rsidRDefault="00BD7749" w:rsidP="00BD7749">
            <w:pPr>
              <w:spacing w:after="0" w:line="240" w:lineRule="auto"/>
              <w:jc w:val="right"/>
              <w:rPr>
                <w:rFonts w:ascii="Bookman Old Style" w:eastAsia="Times New Roman" w:hAnsi="Bookman Old Style" w:cs="Calibri"/>
                <w:b/>
                <w:bCs/>
                <w:color w:val="000000"/>
                <w:lang w:eastAsia="en-IN"/>
              </w:rPr>
            </w:pPr>
            <w:r w:rsidRPr="005A3EB0">
              <w:rPr>
                <w:rFonts w:ascii="Bookman Old Style" w:eastAsia="Times New Roman" w:hAnsi="Bookman Old Style" w:cs="Calibri"/>
                <w:b/>
                <w:bCs/>
                <w:color w:val="000000"/>
                <w:lang w:val="en-US" w:eastAsia="en-IN"/>
              </w:rPr>
              <w:t>2395.34</w:t>
            </w:r>
          </w:p>
        </w:tc>
      </w:tr>
    </w:tbl>
    <w:p w:rsidR="001D3EB7" w:rsidRDefault="001D3EB7" w:rsidP="00717D3E">
      <w:pPr>
        <w:spacing w:after="0" w:line="360" w:lineRule="auto"/>
        <w:ind w:left="720" w:right="67"/>
        <w:jc w:val="both"/>
        <w:rPr>
          <w:rFonts w:ascii="Bookman Old Style" w:eastAsiaTheme="minorEastAsia" w:hAnsi="Bookman Old Style" w:cs="Arial"/>
        </w:rPr>
      </w:pPr>
    </w:p>
    <w:p w:rsidR="00381ACE" w:rsidRDefault="00381ACE" w:rsidP="00E85457">
      <w:pPr>
        <w:spacing w:line="360" w:lineRule="auto"/>
        <w:ind w:right="67"/>
        <w:jc w:val="both"/>
        <w:rPr>
          <w:rFonts w:ascii="Bookman Old Style" w:eastAsiaTheme="minorEastAsia" w:hAnsi="Bookman Old Style" w:cs="Arial"/>
        </w:rPr>
      </w:pPr>
      <w:r w:rsidRPr="008533C9">
        <w:rPr>
          <w:rFonts w:ascii="Bookman Old Style" w:eastAsiaTheme="minorEastAsia" w:hAnsi="Bookman Old Style" w:cs="Arial"/>
        </w:rPr>
        <w:t xml:space="preserve">Employee expenses comprise of salaries, dearness allowance, terminal benefits in the form of pension &amp; gratuity, leave encashment and staff welfare expenses. </w:t>
      </w:r>
    </w:p>
    <w:p w:rsidR="00381ACE" w:rsidRPr="008533C9" w:rsidRDefault="00381ACE" w:rsidP="00E85457">
      <w:pPr>
        <w:spacing w:line="360" w:lineRule="auto"/>
        <w:ind w:right="67"/>
        <w:jc w:val="both"/>
        <w:rPr>
          <w:rFonts w:ascii="Bookman Old Style" w:eastAsiaTheme="minorEastAsia" w:hAnsi="Bookman Old Style" w:cs="Arial"/>
        </w:rPr>
      </w:pPr>
      <w:r w:rsidRPr="008533C9">
        <w:rPr>
          <w:rFonts w:ascii="Bookman Old Style" w:eastAsiaTheme="minorEastAsia" w:hAnsi="Bookman Old Style" w:cs="Arial"/>
        </w:rPr>
        <w:t xml:space="preserve">Administrative expenses mainly comprise of rents, telephone and other communication expenses, professional charges, conveyance and travelling allowances, other debits etc. </w:t>
      </w:r>
    </w:p>
    <w:p w:rsidR="00381ACE" w:rsidRDefault="00381ACE" w:rsidP="00E85457">
      <w:pPr>
        <w:spacing w:line="360" w:lineRule="auto"/>
        <w:ind w:right="67"/>
        <w:jc w:val="both"/>
        <w:rPr>
          <w:rFonts w:ascii="Bookman Old Style" w:eastAsiaTheme="minorEastAsia" w:hAnsi="Bookman Old Style" w:cs="Arial"/>
        </w:rPr>
      </w:pPr>
      <w:r w:rsidRPr="008533C9">
        <w:rPr>
          <w:rFonts w:ascii="Bookman Old Style" w:eastAsiaTheme="minorEastAsia" w:hAnsi="Bookman Old Style" w:cs="Arial"/>
        </w:rPr>
        <w:t xml:space="preserve">Repairs and Maintenance Expenses go towards the day to day upkeep of the distribution network of the company and form an integral part of the company’s efforts towards reliable and quality power supply as also in the reduction of losses in the system. The following table provides the summary of O&amp;M Expenses </w:t>
      </w:r>
      <w:r>
        <w:rPr>
          <w:rFonts w:ascii="Bookman Old Style" w:eastAsiaTheme="minorEastAsia" w:hAnsi="Bookman Old Style" w:cs="Arial"/>
        </w:rPr>
        <w:t>for the FY 2019-20 a</w:t>
      </w:r>
      <w:r w:rsidRPr="00031C3C">
        <w:rPr>
          <w:rFonts w:ascii="Bookman Old Style" w:eastAsiaTheme="minorEastAsia" w:hAnsi="Bookman Old Style" w:cs="Arial"/>
        </w:rPr>
        <w:t xml:space="preserve">s per </w:t>
      </w:r>
      <w:r>
        <w:rPr>
          <w:rFonts w:ascii="Bookman Old Style" w:eastAsiaTheme="minorEastAsia" w:hAnsi="Bookman Old Style" w:cs="Arial"/>
        </w:rPr>
        <w:t>audited accounts</w:t>
      </w:r>
      <w:r w:rsidRPr="00031C3C">
        <w:rPr>
          <w:rFonts w:ascii="Bookman Old Style" w:eastAsiaTheme="minorEastAsia" w:hAnsi="Bookman Old Style" w:cs="Arial"/>
        </w:rPr>
        <w:t>, O&amp;M expenses are as follows:</w:t>
      </w:r>
    </w:p>
    <w:p w:rsidR="00D1177B" w:rsidRPr="00294DAD" w:rsidRDefault="00D1177B" w:rsidP="00E85457">
      <w:pPr>
        <w:spacing w:line="360" w:lineRule="auto"/>
        <w:ind w:right="67"/>
        <w:jc w:val="both"/>
        <w:rPr>
          <w:rFonts w:ascii="Bookman Old Style" w:eastAsiaTheme="minorEastAsia" w:hAnsi="Bookman Old Style" w:cs="Arial"/>
          <w:sz w:val="20"/>
        </w:rPr>
      </w:pPr>
    </w:p>
    <w:p w:rsidR="00381ACE" w:rsidRPr="00294DAD" w:rsidRDefault="00092826" w:rsidP="00092826">
      <w:pPr>
        <w:spacing w:line="360" w:lineRule="auto"/>
        <w:ind w:right="67"/>
        <w:jc w:val="center"/>
        <w:rPr>
          <w:rFonts w:ascii="Bookman Old Style" w:hAnsi="Bookman Old Style" w:cs="Calibri"/>
          <w:b/>
          <w:bCs/>
          <w:sz w:val="18"/>
          <w:lang w:eastAsia="en-IN"/>
        </w:rPr>
      </w:pPr>
      <w:r w:rsidRPr="00294DAD">
        <w:rPr>
          <w:rFonts w:ascii="Bookman Old Style" w:hAnsi="Bookman Old Style" w:cs="Calibri"/>
          <w:b/>
          <w:bCs/>
          <w:sz w:val="18"/>
          <w:lang w:eastAsia="en-IN"/>
        </w:rPr>
        <w:lastRenderedPageBreak/>
        <w:t xml:space="preserve">                               </w:t>
      </w:r>
      <w:r w:rsidR="00BD7749">
        <w:rPr>
          <w:rFonts w:ascii="Bookman Old Style" w:hAnsi="Bookman Old Style" w:cs="Calibri"/>
          <w:b/>
          <w:bCs/>
          <w:sz w:val="18"/>
          <w:lang w:eastAsia="en-IN"/>
        </w:rPr>
        <w:t xml:space="preserve">        </w:t>
      </w:r>
      <w:r w:rsidRPr="00294DAD">
        <w:rPr>
          <w:rFonts w:ascii="Bookman Old Style" w:hAnsi="Bookman Old Style" w:cs="Calibri"/>
          <w:b/>
          <w:bCs/>
          <w:sz w:val="18"/>
          <w:lang w:eastAsia="en-IN"/>
        </w:rPr>
        <w:t xml:space="preserve">  Table 3.</w:t>
      </w:r>
      <w:r w:rsidR="00BD7749">
        <w:rPr>
          <w:rFonts w:ascii="Bookman Old Style" w:hAnsi="Bookman Old Style" w:cs="Calibri"/>
          <w:b/>
          <w:bCs/>
          <w:sz w:val="18"/>
          <w:lang w:eastAsia="en-IN"/>
        </w:rPr>
        <w:t>2</w:t>
      </w:r>
      <w:r w:rsidR="0028515D">
        <w:rPr>
          <w:rFonts w:ascii="Bookman Old Style" w:hAnsi="Bookman Old Style" w:cs="Calibri"/>
          <w:b/>
          <w:bCs/>
          <w:sz w:val="18"/>
          <w:lang w:eastAsia="en-IN"/>
        </w:rPr>
        <w:t>0</w:t>
      </w:r>
      <w:r w:rsidR="00381ACE" w:rsidRPr="00294DAD">
        <w:rPr>
          <w:rFonts w:ascii="Bookman Old Style" w:eastAsiaTheme="minorEastAsia" w:hAnsi="Bookman Old Style" w:cs="Arial"/>
          <w:b/>
          <w:sz w:val="18"/>
          <w:szCs w:val="26"/>
        </w:rPr>
        <w:t xml:space="preserve">            </w:t>
      </w:r>
      <w:r w:rsidR="00BD7749">
        <w:rPr>
          <w:rFonts w:ascii="Bookman Old Style" w:eastAsiaTheme="minorEastAsia" w:hAnsi="Bookman Old Style" w:cs="Arial"/>
          <w:b/>
          <w:sz w:val="18"/>
          <w:szCs w:val="26"/>
        </w:rPr>
        <w:t xml:space="preserve">                </w:t>
      </w:r>
      <w:r w:rsidR="00381ACE" w:rsidRPr="00294DAD">
        <w:rPr>
          <w:rFonts w:ascii="Bookman Old Style" w:eastAsiaTheme="minorEastAsia" w:hAnsi="Bookman Old Style" w:cs="Arial"/>
          <w:b/>
          <w:sz w:val="18"/>
          <w:szCs w:val="26"/>
        </w:rPr>
        <w:t xml:space="preserve"> Amount in Crs</w:t>
      </w:r>
    </w:p>
    <w:tbl>
      <w:tblPr>
        <w:tblW w:w="6946" w:type="dxa"/>
        <w:jc w:val="center"/>
        <w:tblLook w:val="04A0" w:firstRow="1" w:lastRow="0" w:firstColumn="1" w:lastColumn="0" w:noHBand="0" w:noVBand="1"/>
      </w:tblPr>
      <w:tblGrid>
        <w:gridCol w:w="4678"/>
        <w:gridCol w:w="2268"/>
      </w:tblGrid>
      <w:tr w:rsidR="00381ACE" w:rsidRPr="00242775" w:rsidTr="003C4C95">
        <w:trPr>
          <w:trHeight w:val="173"/>
          <w:jc w:val="center"/>
        </w:trPr>
        <w:tc>
          <w:tcPr>
            <w:tcW w:w="46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1ACE" w:rsidRPr="00242775" w:rsidRDefault="00381ACE" w:rsidP="003C4C95">
            <w:pPr>
              <w:spacing w:after="0" w:line="360" w:lineRule="auto"/>
              <w:ind w:right="67"/>
              <w:jc w:val="center"/>
              <w:rPr>
                <w:rFonts w:ascii="Bookman Old Style" w:hAnsi="Bookman Old Style" w:cs="Calibri"/>
                <w:b/>
                <w:bCs/>
                <w:lang w:eastAsia="en-IN"/>
              </w:rPr>
            </w:pPr>
            <w:r w:rsidRPr="00242775">
              <w:rPr>
                <w:rFonts w:ascii="Bookman Old Style" w:hAnsi="Bookman Old Style" w:cs="Calibri"/>
                <w:b/>
                <w:bCs/>
                <w:lang w:eastAsia="en-IN"/>
              </w:rPr>
              <w:t>Particulars</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381ACE" w:rsidRPr="00242775" w:rsidRDefault="00381ACE" w:rsidP="003C4C95">
            <w:pPr>
              <w:spacing w:after="0" w:line="360" w:lineRule="auto"/>
              <w:ind w:right="67"/>
              <w:jc w:val="center"/>
              <w:rPr>
                <w:rFonts w:ascii="Bookman Old Style" w:hAnsi="Bookman Old Style" w:cs="Calibri"/>
                <w:b/>
                <w:bCs/>
                <w:lang w:eastAsia="en-IN"/>
              </w:rPr>
            </w:pPr>
            <w:r w:rsidRPr="00242775">
              <w:rPr>
                <w:rFonts w:ascii="Bookman Old Style" w:hAnsi="Bookman Old Style" w:cs="Calibri"/>
                <w:b/>
                <w:bCs/>
                <w:lang w:eastAsia="en-IN"/>
              </w:rPr>
              <w:t>Accounts</w:t>
            </w:r>
            <w:r w:rsidR="00DB0E5D">
              <w:rPr>
                <w:rFonts w:ascii="Bookman Old Style" w:hAnsi="Bookman Old Style" w:cs="Calibri"/>
                <w:b/>
                <w:bCs/>
                <w:lang w:eastAsia="en-IN"/>
              </w:rPr>
              <w:t xml:space="preserve"> </w:t>
            </w:r>
            <w:r w:rsidRPr="00242775">
              <w:rPr>
                <w:rFonts w:ascii="Bookman Old Style" w:hAnsi="Bookman Old Style" w:cs="Calibri"/>
                <w:b/>
                <w:bCs/>
                <w:lang w:eastAsia="en-IN"/>
              </w:rPr>
              <w:t>(</w:t>
            </w:r>
            <w:r>
              <w:rPr>
                <w:rFonts w:ascii="Bookman Old Style" w:hAnsi="Bookman Old Style" w:cs="Calibri"/>
                <w:b/>
                <w:bCs/>
                <w:lang w:eastAsia="en-IN"/>
              </w:rPr>
              <w:t>FY-</w:t>
            </w:r>
            <w:r w:rsidRPr="00242775">
              <w:rPr>
                <w:rFonts w:ascii="Bookman Old Style" w:hAnsi="Bookman Old Style" w:cs="Calibri"/>
                <w:b/>
                <w:bCs/>
                <w:lang w:eastAsia="en-IN"/>
              </w:rPr>
              <w:t>20)</w:t>
            </w:r>
          </w:p>
        </w:tc>
      </w:tr>
      <w:tr w:rsidR="00381ACE" w:rsidRPr="00242775" w:rsidTr="003C4C95">
        <w:trPr>
          <w:trHeight w:val="308"/>
          <w:jc w:val="center"/>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381ACE" w:rsidRPr="00242775" w:rsidRDefault="00381ACE" w:rsidP="003C4C95">
            <w:pPr>
              <w:spacing w:after="0" w:line="360" w:lineRule="auto"/>
              <w:ind w:right="67"/>
              <w:rPr>
                <w:rFonts w:ascii="Bookman Old Style" w:hAnsi="Bookman Old Style" w:cs="Calibri"/>
                <w:lang w:eastAsia="en-IN"/>
              </w:rPr>
            </w:pPr>
            <w:r w:rsidRPr="00242775">
              <w:rPr>
                <w:rFonts w:ascii="Bookman Old Style" w:hAnsi="Bookman Old Style" w:cs="Calibri"/>
                <w:lang w:eastAsia="en-IN"/>
              </w:rPr>
              <w:t>Other operating (Repair &amp; Maintenance)  expenses</w:t>
            </w:r>
          </w:p>
        </w:tc>
        <w:tc>
          <w:tcPr>
            <w:tcW w:w="2268" w:type="dxa"/>
            <w:tcBorders>
              <w:top w:val="nil"/>
              <w:left w:val="nil"/>
              <w:bottom w:val="single" w:sz="8" w:space="0" w:color="auto"/>
              <w:right w:val="single" w:sz="8" w:space="0" w:color="auto"/>
            </w:tcBorders>
            <w:shd w:val="clear" w:color="auto" w:fill="auto"/>
            <w:noWrap/>
            <w:vAlign w:val="center"/>
            <w:hideMark/>
          </w:tcPr>
          <w:p w:rsidR="00381ACE" w:rsidRPr="00242775" w:rsidRDefault="00381ACE" w:rsidP="003C4C95">
            <w:pPr>
              <w:spacing w:after="0" w:line="360" w:lineRule="auto"/>
              <w:ind w:right="67"/>
              <w:jc w:val="right"/>
              <w:rPr>
                <w:rFonts w:ascii="Bookman Old Style" w:hAnsi="Bookman Old Style" w:cs="Calibri"/>
                <w:lang w:eastAsia="en-IN"/>
              </w:rPr>
            </w:pPr>
            <w:r w:rsidRPr="00242775">
              <w:rPr>
                <w:rFonts w:ascii="Bookman Old Style" w:hAnsi="Bookman Old Style" w:cs="Calibri"/>
                <w:lang w:eastAsia="en-IN"/>
              </w:rPr>
              <w:t>113.83</w:t>
            </w:r>
          </w:p>
        </w:tc>
      </w:tr>
      <w:tr w:rsidR="00381ACE" w:rsidRPr="00242775" w:rsidTr="003C4C95">
        <w:trPr>
          <w:trHeight w:val="322"/>
          <w:jc w:val="center"/>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381ACE" w:rsidRPr="00242775" w:rsidRDefault="00381ACE" w:rsidP="003C4C95">
            <w:pPr>
              <w:spacing w:after="0" w:line="360" w:lineRule="auto"/>
              <w:ind w:right="67"/>
              <w:rPr>
                <w:rFonts w:ascii="Bookman Old Style" w:hAnsi="Bookman Old Style" w:cs="Calibri"/>
                <w:lang w:eastAsia="en-IN"/>
              </w:rPr>
            </w:pPr>
            <w:r w:rsidRPr="00242775">
              <w:rPr>
                <w:rFonts w:ascii="Bookman Old Style" w:hAnsi="Bookman Old Style" w:cs="Calibri"/>
                <w:lang w:eastAsia="en-IN"/>
              </w:rPr>
              <w:t>Employee Benefits Expense</w:t>
            </w:r>
          </w:p>
        </w:tc>
        <w:tc>
          <w:tcPr>
            <w:tcW w:w="2268" w:type="dxa"/>
            <w:tcBorders>
              <w:top w:val="nil"/>
              <w:left w:val="nil"/>
              <w:bottom w:val="single" w:sz="8" w:space="0" w:color="auto"/>
              <w:right w:val="single" w:sz="8" w:space="0" w:color="auto"/>
            </w:tcBorders>
            <w:shd w:val="clear" w:color="auto" w:fill="auto"/>
            <w:noWrap/>
            <w:vAlign w:val="center"/>
            <w:hideMark/>
          </w:tcPr>
          <w:p w:rsidR="00381ACE" w:rsidRPr="00242775" w:rsidRDefault="00381ACE" w:rsidP="003C4C95">
            <w:pPr>
              <w:spacing w:after="0" w:line="360" w:lineRule="auto"/>
              <w:ind w:right="67"/>
              <w:jc w:val="right"/>
              <w:rPr>
                <w:rFonts w:ascii="Bookman Old Style" w:hAnsi="Bookman Old Style" w:cs="Calibri"/>
                <w:lang w:eastAsia="en-IN"/>
              </w:rPr>
            </w:pPr>
            <w:r w:rsidRPr="00242775">
              <w:rPr>
                <w:rFonts w:ascii="Bookman Old Style" w:hAnsi="Bookman Old Style" w:cs="Calibri"/>
                <w:lang w:eastAsia="en-IN"/>
              </w:rPr>
              <w:t>1513.41</w:t>
            </w:r>
          </w:p>
        </w:tc>
      </w:tr>
      <w:tr w:rsidR="00381ACE" w:rsidRPr="00242775" w:rsidTr="003C4C95">
        <w:trPr>
          <w:trHeight w:val="182"/>
          <w:jc w:val="center"/>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381ACE" w:rsidRPr="00242775" w:rsidRDefault="00381ACE" w:rsidP="003C4C95">
            <w:pPr>
              <w:spacing w:after="0" w:line="360" w:lineRule="auto"/>
              <w:ind w:right="67"/>
              <w:rPr>
                <w:rFonts w:ascii="Bookman Old Style" w:hAnsi="Bookman Old Style" w:cs="Calibri"/>
                <w:lang w:eastAsia="en-IN"/>
              </w:rPr>
            </w:pPr>
            <w:r w:rsidRPr="00242775">
              <w:rPr>
                <w:rFonts w:ascii="Bookman Old Style" w:hAnsi="Bookman Old Style" w:cs="Calibri"/>
                <w:lang w:eastAsia="en-IN"/>
              </w:rPr>
              <w:t>Other expenses</w:t>
            </w:r>
          </w:p>
        </w:tc>
        <w:tc>
          <w:tcPr>
            <w:tcW w:w="2268" w:type="dxa"/>
            <w:tcBorders>
              <w:top w:val="nil"/>
              <w:left w:val="nil"/>
              <w:bottom w:val="single" w:sz="8" w:space="0" w:color="auto"/>
              <w:right w:val="single" w:sz="8" w:space="0" w:color="auto"/>
            </w:tcBorders>
            <w:shd w:val="clear" w:color="auto" w:fill="auto"/>
            <w:noWrap/>
            <w:vAlign w:val="center"/>
            <w:hideMark/>
          </w:tcPr>
          <w:p w:rsidR="00381ACE" w:rsidRPr="00A13DEE" w:rsidRDefault="00381ACE" w:rsidP="003C4C95">
            <w:pPr>
              <w:spacing w:after="0" w:line="360" w:lineRule="auto"/>
              <w:ind w:right="67"/>
              <w:jc w:val="right"/>
              <w:rPr>
                <w:rFonts w:ascii="Bookman Old Style" w:hAnsi="Bookman Old Style" w:cs="Calibri"/>
                <w:lang w:eastAsia="en-IN"/>
              </w:rPr>
            </w:pPr>
            <w:r w:rsidRPr="00A13DEE">
              <w:rPr>
                <w:rFonts w:ascii="Bookman Old Style" w:hAnsi="Bookman Old Style" w:cs="Calibri"/>
                <w:lang w:eastAsia="en-IN"/>
              </w:rPr>
              <w:t>459.91</w:t>
            </w:r>
          </w:p>
        </w:tc>
      </w:tr>
      <w:tr w:rsidR="00381ACE" w:rsidRPr="00242775" w:rsidTr="003C4C95">
        <w:trPr>
          <w:trHeight w:val="182"/>
          <w:jc w:val="center"/>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381ACE" w:rsidRPr="00242775" w:rsidRDefault="00381ACE" w:rsidP="003C4C95">
            <w:pPr>
              <w:spacing w:after="0" w:line="360" w:lineRule="auto"/>
              <w:ind w:right="67"/>
              <w:rPr>
                <w:rFonts w:ascii="Bookman Old Style" w:hAnsi="Bookman Old Style" w:cs="Calibri"/>
                <w:b/>
                <w:bCs/>
                <w:lang w:eastAsia="en-IN"/>
              </w:rPr>
            </w:pPr>
            <w:r w:rsidRPr="00242775">
              <w:rPr>
                <w:rFonts w:ascii="Bookman Old Style" w:hAnsi="Bookman Old Style" w:cs="Calibri"/>
                <w:b/>
                <w:bCs/>
                <w:lang w:eastAsia="en-IN"/>
              </w:rPr>
              <w:t>Total</w:t>
            </w:r>
          </w:p>
        </w:tc>
        <w:tc>
          <w:tcPr>
            <w:tcW w:w="2268" w:type="dxa"/>
            <w:tcBorders>
              <w:top w:val="nil"/>
              <w:left w:val="nil"/>
              <w:bottom w:val="single" w:sz="8" w:space="0" w:color="auto"/>
              <w:right w:val="single" w:sz="8" w:space="0" w:color="auto"/>
            </w:tcBorders>
            <w:shd w:val="clear" w:color="auto" w:fill="auto"/>
            <w:noWrap/>
            <w:vAlign w:val="center"/>
            <w:hideMark/>
          </w:tcPr>
          <w:p w:rsidR="00381ACE" w:rsidRPr="00A13DEE" w:rsidRDefault="00381ACE" w:rsidP="003C4C95">
            <w:pPr>
              <w:spacing w:after="0" w:line="360" w:lineRule="auto"/>
              <w:ind w:right="67"/>
              <w:jc w:val="right"/>
              <w:rPr>
                <w:rFonts w:ascii="Bookman Old Style" w:hAnsi="Bookman Old Style" w:cs="Calibri"/>
                <w:b/>
                <w:lang w:eastAsia="en-IN"/>
              </w:rPr>
            </w:pPr>
            <w:r w:rsidRPr="00A13DEE">
              <w:rPr>
                <w:rFonts w:ascii="Bookman Old Style" w:hAnsi="Bookman Old Style" w:cs="Calibri"/>
                <w:b/>
                <w:lang w:eastAsia="en-IN"/>
              </w:rPr>
              <w:t>2087.15</w:t>
            </w:r>
          </w:p>
        </w:tc>
      </w:tr>
    </w:tbl>
    <w:p w:rsidR="00381ACE" w:rsidRDefault="00381ACE" w:rsidP="00717D3E">
      <w:pPr>
        <w:spacing w:after="0" w:line="360" w:lineRule="auto"/>
        <w:ind w:left="6480" w:right="67" w:firstLine="720"/>
        <w:jc w:val="both"/>
        <w:rPr>
          <w:rFonts w:ascii="Bookman Old Style" w:eastAsiaTheme="minorEastAsia" w:hAnsi="Bookman Old Style" w:cs="Arial"/>
        </w:rPr>
      </w:pPr>
      <w:r>
        <w:rPr>
          <w:rFonts w:ascii="Bookman Old Style" w:eastAsiaTheme="minorEastAsia" w:hAnsi="Bookman Old Style" w:cs="Arial"/>
        </w:rPr>
        <w:t xml:space="preserve">                                                           </w:t>
      </w:r>
    </w:p>
    <w:p w:rsidR="0028515D" w:rsidRDefault="00381ACE" w:rsidP="00D1177B">
      <w:pPr>
        <w:spacing w:after="0" w:line="360" w:lineRule="auto"/>
        <w:ind w:right="67"/>
        <w:jc w:val="both"/>
        <w:rPr>
          <w:rFonts w:ascii="Bookman Old Style" w:hAnsi="Bookman Old Style" w:cs="Calibri"/>
          <w:b/>
          <w:bCs/>
          <w:sz w:val="20"/>
          <w:lang w:eastAsia="en-IN"/>
        </w:rPr>
      </w:pPr>
      <w:r>
        <w:rPr>
          <w:rFonts w:ascii="Bookman Old Style" w:eastAsiaTheme="minorEastAsia" w:hAnsi="Bookman Old Style" w:cs="Arial"/>
        </w:rPr>
        <w:t xml:space="preserve">It is noticed that some expenses which are separately approved as per regulatory formats are added in A&amp;G expenses (other expenses as per audited accounts). </w:t>
      </w:r>
      <w:r w:rsidR="00D1177B">
        <w:rPr>
          <w:rFonts w:ascii="Bookman Old Style" w:hAnsi="Bookman Old Style" w:cs="Calibri"/>
          <w:b/>
          <w:bCs/>
          <w:sz w:val="20"/>
          <w:lang w:eastAsia="en-IN"/>
        </w:rPr>
        <w:t xml:space="preserve">             </w:t>
      </w:r>
    </w:p>
    <w:p w:rsidR="003C4C95" w:rsidRPr="00092826" w:rsidRDefault="0028515D" w:rsidP="003C4C95">
      <w:pPr>
        <w:spacing w:line="360" w:lineRule="auto"/>
        <w:ind w:right="67"/>
        <w:jc w:val="center"/>
        <w:rPr>
          <w:rFonts w:ascii="Bookman Old Style" w:hAnsi="Bookman Old Style" w:cs="Calibri"/>
          <w:b/>
          <w:bCs/>
          <w:sz w:val="20"/>
          <w:lang w:eastAsia="en-IN"/>
        </w:rPr>
      </w:pPr>
      <w:r>
        <w:rPr>
          <w:rFonts w:ascii="Bookman Old Style" w:hAnsi="Bookman Old Style" w:cs="Calibri"/>
          <w:b/>
          <w:bCs/>
          <w:sz w:val="20"/>
          <w:lang w:eastAsia="en-IN"/>
        </w:rPr>
        <w:t xml:space="preserve">                               </w:t>
      </w:r>
      <w:r w:rsidR="00294DAD">
        <w:rPr>
          <w:rFonts w:ascii="Bookman Old Style" w:hAnsi="Bookman Old Style" w:cs="Calibri"/>
          <w:b/>
          <w:bCs/>
          <w:sz w:val="20"/>
          <w:lang w:eastAsia="en-IN"/>
        </w:rPr>
        <w:t xml:space="preserve"> </w:t>
      </w:r>
      <w:r w:rsidR="003C4C95">
        <w:rPr>
          <w:rFonts w:ascii="Bookman Old Style" w:hAnsi="Bookman Old Style" w:cs="Calibri"/>
          <w:b/>
          <w:bCs/>
          <w:sz w:val="20"/>
          <w:lang w:eastAsia="en-IN"/>
        </w:rPr>
        <w:t xml:space="preserve"> </w:t>
      </w:r>
      <w:r w:rsidR="003C4C95" w:rsidRPr="00294DAD">
        <w:rPr>
          <w:rFonts w:ascii="Bookman Old Style" w:hAnsi="Bookman Old Style" w:cs="Calibri"/>
          <w:b/>
          <w:bCs/>
          <w:sz w:val="18"/>
          <w:lang w:eastAsia="en-IN"/>
        </w:rPr>
        <w:t>Table 3.</w:t>
      </w:r>
      <w:r w:rsidR="009D1757">
        <w:rPr>
          <w:rFonts w:ascii="Bookman Old Style" w:hAnsi="Bookman Old Style" w:cs="Calibri"/>
          <w:b/>
          <w:bCs/>
          <w:sz w:val="18"/>
          <w:lang w:eastAsia="en-IN"/>
        </w:rPr>
        <w:t>2</w:t>
      </w:r>
      <w:r>
        <w:rPr>
          <w:rFonts w:ascii="Bookman Old Style" w:hAnsi="Bookman Old Style" w:cs="Calibri"/>
          <w:b/>
          <w:bCs/>
          <w:sz w:val="18"/>
          <w:lang w:eastAsia="en-IN"/>
        </w:rPr>
        <w:t>1</w:t>
      </w:r>
      <w:r w:rsidR="003C4C95" w:rsidRPr="00294DAD">
        <w:rPr>
          <w:rFonts w:ascii="Bookman Old Style" w:eastAsiaTheme="minorEastAsia" w:hAnsi="Bookman Old Style" w:cs="Arial"/>
          <w:b/>
          <w:sz w:val="18"/>
          <w:szCs w:val="26"/>
        </w:rPr>
        <w:t xml:space="preserve">     </w:t>
      </w:r>
      <w:r w:rsidR="00294DAD">
        <w:rPr>
          <w:rFonts w:ascii="Bookman Old Style" w:eastAsiaTheme="minorEastAsia" w:hAnsi="Bookman Old Style" w:cs="Arial"/>
          <w:b/>
          <w:sz w:val="18"/>
          <w:szCs w:val="26"/>
        </w:rPr>
        <w:t xml:space="preserve">                   </w:t>
      </w:r>
      <w:r w:rsidR="003C4C95" w:rsidRPr="00294DAD">
        <w:rPr>
          <w:rFonts w:ascii="Bookman Old Style" w:eastAsiaTheme="minorEastAsia" w:hAnsi="Bookman Old Style" w:cs="Arial"/>
          <w:b/>
          <w:sz w:val="18"/>
          <w:szCs w:val="26"/>
        </w:rPr>
        <w:t xml:space="preserve">       Amount in Crs</w:t>
      </w:r>
    </w:p>
    <w:p w:rsidR="00381ACE" w:rsidRPr="00A13DEE" w:rsidRDefault="00381ACE" w:rsidP="00717D3E">
      <w:pPr>
        <w:spacing w:after="0" w:line="360" w:lineRule="auto"/>
        <w:ind w:left="720" w:right="67"/>
        <w:jc w:val="both"/>
        <w:rPr>
          <w:rFonts w:ascii="Bookman Old Style" w:eastAsiaTheme="minorEastAsia" w:hAnsi="Bookman Old Style" w:cs="Arial"/>
          <w:b/>
          <w:sz w:val="2"/>
          <w:szCs w:val="26"/>
        </w:rPr>
      </w:pPr>
    </w:p>
    <w:tbl>
      <w:tblPr>
        <w:tblW w:w="7706" w:type="dxa"/>
        <w:jc w:val="center"/>
        <w:tblLook w:val="04A0" w:firstRow="1" w:lastRow="0" w:firstColumn="1" w:lastColumn="0" w:noHBand="0" w:noVBand="1"/>
      </w:tblPr>
      <w:tblGrid>
        <w:gridCol w:w="4770"/>
        <w:gridCol w:w="2936"/>
      </w:tblGrid>
      <w:tr w:rsidR="00381ACE" w:rsidRPr="00F72C6E" w:rsidTr="0028515D">
        <w:trPr>
          <w:trHeight w:val="360"/>
          <w:jc w:val="center"/>
        </w:trPr>
        <w:tc>
          <w:tcPr>
            <w:tcW w:w="4770" w:type="dxa"/>
            <w:tcBorders>
              <w:top w:val="single" w:sz="4" w:space="0" w:color="auto"/>
              <w:left w:val="single" w:sz="4" w:space="0" w:color="auto"/>
              <w:bottom w:val="nil"/>
              <w:right w:val="single" w:sz="4" w:space="0" w:color="auto"/>
            </w:tcBorders>
            <w:shd w:val="clear" w:color="auto" w:fill="auto"/>
            <w:noWrap/>
            <w:vAlign w:val="center"/>
            <w:hideMark/>
          </w:tcPr>
          <w:p w:rsidR="00381ACE" w:rsidRPr="00F72C6E" w:rsidRDefault="00381ACE" w:rsidP="00F72C6E">
            <w:pPr>
              <w:spacing w:after="0" w:line="360" w:lineRule="auto"/>
              <w:ind w:right="67"/>
              <w:jc w:val="center"/>
              <w:rPr>
                <w:rFonts w:ascii="Bookman Old Style" w:hAnsi="Bookman Old Style" w:cs="Calibri"/>
                <w:b/>
                <w:bCs/>
                <w:color w:val="000000"/>
                <w:szCs w:val="20"/>
                <w:lang w:eastAsia="en-IN"/>
              </w:rPr>
            </w:pPr>
            <w:r w:rsidRPr="00F72C6E">
              <w:rPr>
                <w:rFonts w:ascii="Bookman Old Style" w:hAnsi="Bookman Old Style" w:cs="Calibri"/>
                <w:b/>
                <w:bCs/>
                <w:color w:val="000000"/>
                <w:szCs w:val="20"/>
                <w:lang w:eastAsia="en-IN"/>
              </w:rPr>
              <w:t>Particulars</w:t>
            </w:r>
          </w:p>
        </w:tc>
        <w:tc>
          <w:tcPr>
            <w:tcW w:w="2936" w:type="dxa"/>
            <w:tcBorders>
              <w:top w:val="single" w:sz="4" w:space="0" w:color="auto"/>
              <w:left w:val="nil"/>
              <w:bottom w:val="single" w:sz="4" w:space="0" w:color="auto"/>
              <w:right w:val="single" w:sz="4" w:space="0" w:color="auto"/>
            </w:tcBorders>
            <w:shd w:val="clear" w:color="auto" w:fill="auto"/>
            <w:vAlign w:val="bottom"/>
            <w:hideMark/>
          </w:tcPr>
          <w:p w:rsidR="00AB7BBE" w:rsidRPr="00F72C6E" w:rsidRDefault="00381ACE" w:rsidP="00F72C6E">
            <w:pPr>
              <w:spacing w:after="0" w:line="360" w:lineRule="auto"/>
              <w:ind w:right="67"/>
              <w:jc w:val="center"/>
              <w:rPr>
                <w:rFonts w:ascii="Bookman Old Style" w:hAnsi="Bookman Old Style" w:cs="Calibri"/>
                <w:b/>
                <w:bCs/>
                <w:color w:val="000000"/>
                <w:szCs w:val="20"/>
                <w:lang w:eastAsia="en-IN"/>
              </w:rPr>
            </w:pPr>
            <w:r w:rsidRPr="00F72C6E">
              <w:rPr>
                <w:rFonts w:ascii="Bookman Old Style" w:hAnsi="Bookman Old Style" w:cs="Calibri"/>
                <w:b/>
                <w:bCs/>
                <w:color w:val="000000"/>
                <w:szCs w:val="20"/>
                <w:lang w:eastAsia="en-IN"/>
              </w:rPr>
              <w:t xml:space="preserve"> For the year ended on 31st March 2020</w:t>
            </w:r>
            <w:r w:rsidR="00FF19FD" w:rsidRPr="00F72C6E">
              <w:rPr>
                <w:rFonts w:ascii="Bookman Old Style" w:hAnsi="Bookman Old Style" w:cs="Calibri"/>
                <w:b/>
                <w:bCs/>
                <w:color w:val="000000"/>
                <w:szCs w:val="20"/>
                <w:lang w:eastAsia="en-IN"/>
              </w:rPr>
              <w:t xml:space="preserve"> </w:t>
            </w:r>
          </w:p>
          <w:p w:rsidR="00381ACE" w:rsidRPr="00F72C6E" w:rsidRDefault="00381ACE" w:rsidP="00F72C6E">
            <w:pPr>
              <w:spacing w:after="0" w:line="360" w:lineRule="auto"/>
              <w:ind w:right="67"/>
              <w:jc w:val="center"/>
              <w:rPr>
                <w:rFonts w:ascii="Bookman Old Style" w:hAnsi="Bookman Old Style" w:cs="Calibri"/>
                <w:b/>
                <w:bCs/>
                <w:color w:val="000000"/>
                <w:szCs w:val="20"/>
                <w:lang w:eastAsia="en-IN"/>
              </w:rPr>
            </w:pPr>
            <w:r w:rsidRPr="00F72C6E">
              <w:rPr>
                <w:rFonts w:ascii="Bookman Old Style" w:hAnsi="Bookman Old Style" w:cs="Calibri"/>
                <w:b/>
                <w:bCs/>
                <w:color w:val="000000"/>
                <w:szCs w:val="20"/>
                <w:lang w:eastAsia="en-IN"/>
              </w:rPr>
              <w:t xml:space="preserve">(Ind AS) </w:t>
            </w:r>
          </w:p>
        </w:tc>
      </w:tr>
      <w:tr w:rsidR="00381ACE" w:rsidRPr="00F72C6E" w:rsidTr="0028515D">
        <w:trPr>
          <w:trHeight w:val="180"/>
          <w:jc w:val="center"/>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Rent</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28.06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Postage stamps &amp; Telephone charges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8.57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Remuneration to contract agencies </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242.13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Professional, legal and consultancy</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4.40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Conveyance &amp; Travel expenses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53.40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Fees &amp; Subscriptions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6.06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Printing &amp; Stationery</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5.62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Advertisement Expenses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4.48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Computer stationary and floppies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0.59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Contributions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0.33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Electricity Charges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4.06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b/>
                <w:bCs/>
                <w:color w:val="000000"/>
                <w:szCs w:val="20"/>
                <w:lang w:eastAsia="en-IN"/>
              </w:rPr>
            </w:pPr>
            <w:r w:rsidRPr="00F72C6E">
              <w:rPr>
                <w:rFonts w:ascii="Bookman Old Style" w:hAnsi="Bookman Old Style" w:cs="Calibri"/>
                <w:b/>
                <w:bCs/>
                <w:color w:val="000000"/>
                <w:szCs w:val="20"/>
                <w:lang w:eastAsia="en-IN"/>
              </w:rPr>
              <w:t>Miscellaneous including provisions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Rates &amp; Taxes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1.13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Water Charges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0.54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DSM Expenses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0.39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Miscellaneous expenses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9.34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Details of Payments to Auditors (including legal &amp; Professional charges)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a) Audit Fees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lastRenderedPageBreak/>
              <w:t xml:space="preserve">   -  Statutory Audit Fees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0.12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  Tax Audit Fees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0.02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  GST</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Expenses towards CSR- (Corporate Social Responsibilities)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3.00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rPr>
                <w:rFonts w:ascii="Bookman Old Style" w:hAnsi="Bookman Old Style" w:cs="Calibri"/>
                <w:szCs w:val="20"/>
                <w:lang w:eastAsia="en-IN"/>
              </w:rPr>
            </w:pPr>
            <w:r w:rsidRPr="00F72C6E">
              <w:rPr>
                <w:rFonts w:ascii="Bookman Old Style" w:hAnsi="Bookman Old Style" w:cs="Calibri"/>
                <w:b/>
                <w:bCs/>
                <w:szCs w:val="20"/>
                <w:lang w:eastAsia="en-IN"/>
              </w:rPr>
              <w:t>Less:-</w:t>
            </w:r>
            <w:r w:rsidRPr="00F72C6E">
              <w:rPr>
                <w:rFonts w:ascii="Bookman Old Style" w:hAnsi="Bookman Old Style" w:cs="Calibri"/>
                <w:szCs w:val="20"/>
                <w:lang w:eastAsia="en-IN"/>
              </w:rPr>
              <w:t>Other Expenses charged to capital works (Credit Account)</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(0.64)</w:t>
            </w:r>
          </w:p>
        </w:tc>
      </w:tr>
      <w:tr w:rsidR="00381ACE" w:rsidRPr="00F72C6E" w:rsidTr="0028515D">
        <w:trPr>
          <w:trHeight w:val="122"/>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jc w:val="right"/>
              <w:rPr>
                <w:rFonts w:ascii="Bookman Old Style" w:hAnsi="Bookman Old Style" w:cs="Calibri"/>
                <w:b/>
                <w:bCs/>
                <w:szCs w:val="20"/>
                <w:lang w:eastAsia="en-IN"/>
              </w:rPr>
            </w:pPr>
            <w:r w:rsidRPr="00F72C6E">
              <w:rPr>
                <w:rFonts w:ascii="Bookman Old Style" w:hAnsi="Bookman Old Style" w:cs="Calibri"/>
                <w:b/>
                <w:bCs/>
                <w:szCs w:val="20"/>
                <w:lang w:eastAsia="en-IN"/>
              </w:rPr>
              <w:t>Sub total -1</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b/>
                <w:bCs/>
                <w:color w:val="000000"/>
                <w:szCs w:val="20"/>
                <w:lang w:eastAsia="en-IN"/>
              </w:rPr>
            </w:pPr>
            <w:r w:rsidRPr="00F72C6E">
              <w:rPr>
                <w:rFonts w:ascii="Bookman Old Style" w:hAnsi="Bookman Old Style" w:cs="Calibri"/>
                <w:b/>
                <w:bCs/>
                <w:color w:val="000000"/>
                <w:szCs w:val="20"/>
                <w:lang w:eastAsia="en-IN"/>
              </w:rPr>
              <w:t xml:space="preserve">    371.60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rPr>
                <w:rFonts w:ascii="Bookman Old Style" w:hAnsi="Bookman Old Style" w:cs="Calibri"/>
                <w:szCs w:val="20"/>
                <w:lang w:eastAsia="en-IN"/>
              </w:rPr>
            </w:pPr>
            <w:r w:rsidRPr="00F72C6E">
              <w:rPr>
                <w:rFonts w:ascii="Bookman Old Style" w:hAnsi="Bookman Old Style" w:cs="Calibri"/>
                <w:szCs w:val="20"/>
                <w:lang w:eastAsia="en-IN"/>
              </w:rPr>
              <w:t>Small &amp; Low value items Written off</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0.56 </w:t>
            </w:r>
          </w:p>
        </w:tc>
      </w:tr>
      <w:tr w:rsidR="00381ACE" w:rsidRPr="00F72C6E" w:rsidTr="0028515D">
        <w:trPr>
          <w:trHeight w:val="254"/>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rPr>
                <w:rFonts w:ascii="Bookman Old Style" w:hAnsi="Bookman Old Style" w:cs="Calibri"/>
                <w:szCs w:val="20"/>
                <w:lang w:eastAsia="en-IN"/>
              </w:rPr>
            </w:pPr>
            <w:r w:rsidRPr="00F72C6E">
              <w:rPr>
                <w:rFonts w:ascii="Bookman Old Style" w:hAnsi="Bookman Old Style" w:cs="Calibri"/>
                <w:szCs w:val="20"/>
                <w:lang w:eastAsia="en-IN"/>
              </w:rPr>
              <w:t>Asset decommissioning cost</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1.01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jc w:val="right"/>
              <w:rPr>
                <w:rFonts w:ascii="Bookman Old Style" w:hAnsi="Bookman Old Style" w:cs="Calibri"/>
                <w:b/>
                <w:bCs/>
                <w:szCs w:val="20"/>
                <w:lang w:eastAsia="en-IN"/>
              </w:rPr>
            </w:pPr>
            <w:r w:rsidRPr="00F72C6E">
              <w:rPr>
                <w:rFonts w:ascii="Bookman Old Style" w:hAnsi="Bookman Old Style" w:cs="Calibri"/>
                <w:b/>
                <w:bCs/>
                <w:szCs w:val="20"/>
                <w:lang w:eastAsia="en-IN"/>
              </w:rPr>
              <w:t>Sub total -2</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b/>
                <w:bCs/>
                <w:color w:val="000000"/>
                <w:szCs w:val="20"/>
                <w:lang w:eastAsia="en-IN"/>
              </w:rPr>
            </w:pPr>
            <w:r w:rsidRPr="00F72C6E">
              <w:rPr>
                <w:rFonts w:ascii="Bookman Old Style" w:hAnsi="Bookman Old Style" w:cs="Calibri"/>
                <w:b/>
                <w:bCs/>
                <w:color w:val="000000"/>
                <w:szCs w:val="20"/>
                <w:lang w:eastAsia="en-IN"/>
              </w:rPr>
              <w:t xml:space="preserve">        1.57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rPr>
                <w:rFonts w:ascii="Bookman Old Style" w:hAnsi="Bookman Old Style" w:cs="Calibri"/>
                <w:szCs w:val="20"/>
                <w:lang w:eastAsia="en-IN"/>
              </w:rPr>
            </w:pPr>
            <w:r w:rsidRPr="00F72C6E">
              <w:rPr>
                <w:rFonts w:ascii="Bookman Old Style" w:hAnsi="Bookman Old Style" w:cs="Calibri"/>
                <w:szCs w:val="20"/>
                <w:lang w:eastAsia="en-IN"/>
              </w:rPr>
              <w:t>Bank charges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19.91 </w:t>
            </w:r>
          </w:p>
        </w:tc>
      </w:tr>
      <w:tr w:rsidR="00381ACE" w:rsidRPr="00F72C6E" w:rsidTr="0028515D">
        <w:trPr>
          <w:trHeight w:val="212"/>
          <w:jc w:val="center"/>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Interest on Security Deposits from staff</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   </w:t>
            </w:r>
          </w:p>
        </w:tc>
      </w:tr>
      <w:tr w:rsidR="00381ACE" w:rsidRPr="00F72C6E" w:rsidTr="0028515D">
        <w:trPr>
          <w:trHeight w:val="212"/>
          <w:jc w:val="center"/>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Interest paid to service tax department</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rPr>
                <w:rFonts w:ascii="Bookman Old Style" w:hAnsi="Bookman Old Style" w:cs="Calibri"/>
                <w:szCs w:val="20"/>
                <w:lang w:eastAsia="en-IN"/>
              </w:rPr>
            </w:pPr>
            <w:r w:rsidRPr="00F72C6E">
              <w:rPr>
                <w:rFonts w:ascii="Bookman Old Style" w:hAnsi="Bookman Old Style" w:cs="Calibri"/>
                <w:szCs w:val="20"/>
                <w:lang w:eastAsia="en-IN"/>
              </w:rPr>
              <w:t xml:space="preserve">Stamp duty </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1.80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jc w:val="right"/>
              <w:rPr>
                <w:rFonts w:ascii="Bookman Old Style" w:hAnsi="Bookman Old Style" w:cs="Calibri"/>
                <w:b/>
                <w:bCs/>
                <w:szCs w:val="20"/>
                <w:lang w:eastAsia="en-IN"/>
              </w:rPr>
            </w:pPr>
            <w:r w:rsidRPr="00F72C6E">
              <w:rPr>
                <w:rFonts w:ascii="Bookman Old Style" w:hAnsi="Bookman Old Style" w:cs="Calibri"/>
                <w:b/>
                <w:bCs/>
                <w:szCs w:val="20"/>
                <w:lang w:eastAsia="en-IN"/>
              </w:rPr>
              <w:t>Sub total -3</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b/>
                <w:bCs/>
                <w:color w:val="000000"/>
                <w:szCs w:val="20"/>
                <w:lang w:eastAsia="en-IN"/>
              </w:rPr>
            </w:pPr>
            <w:r w:rsidRPr="00F72C6E">
              <w:rPr>
                <w:rFonts w:ascii="Bookman Old Style" w:hAnsi="Bookman Old Style" w:cs="Calibri"/>
                <w:b/>
                <w:bCs/>
                <w:color w:val="000000"/>
                <w:szCs w:val="20"/>
                <w:lang w:eastAsia="en-IN"/>
              </w:rPr>
              <w:t xml:space="preserve">     21.71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rPr>
                <w:rFonts w:ascii="Bookman Old Style" w:hAnsi="Bookman Old Style" w:cs="Calibri"/>
                <w:szCs w:val="20"/>
                <w:lang w:eastAsia="en-IN"/>
              </w:rPr>
            </w:pPr>
            <w:r w:rsidRPr="00F72C6E">
              <w:rPr>
                <w:rFonts w:ascii="Bookman Old Style" w:hAnsi="Bookman Old Style" w:cs="Calibri"/>
                <w:szCs w:val="20"/>
                <w:lang w:eastAsia="en-IN"/>
              </w:rPr>
              <w:t>Provision Against ex-employee recoverable</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rPr>
                <w:rFonts w:ascii="Bookman Old Style" w:hAnsi="Bookman Old Style" w:cs="Calibri"/>
                <w:szCs w:val="20"/>
                <w:lang w:eastAsia="en-IN"/>
              </w:rPr>
            </w:pPr>
            <w:r w:rsidRPr="00F72C6E">
              <w:rPr>
                <w:rFonts w:ascii="Bookman Old Style" w:hAnsi="Bookman Old Style" w:cs="Calibri"/>
                <w:szCs w:val="20"/>
                <w:lang w:eastAsia="en-IN"/>
              </w:rPr>
              <w:t>Provision against receivables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8.03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rPr>
                <w:rFonts w:ascii="Bookman Old Style" w:hAnsi="Bookman Old Style" w:cs="Calibri"/>
                <w:szCs w:val="20"/>
                <w:lang w:eastAsia="en-IN"/>
              </w:rPr>
            </w:pPr>
            <w:r w:rsidRPr="00F72C6E">
              <w:rPr>
                <w:rFonts w:ascii="Bookman Old Style" w:hAnsi="Bookman Old Style" w:cs="Calibri"/>
                <w:szCs w:val="20"/>
                <w:lang w:eastAsia="en-IN"/>
              </w:rPr>
              <w:t>Miscellaneous losses and Write offs including provisions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(1.66)</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rPr>
                <w:rFonts w:ascii="Bookman Old Style" w:hAnsi="Bookman Old Style" w:cs="Calibri"/>
                <w:szCs w:val="20"/>
                <w:lang w:eastAsia="en-IN"/>
              </w:rPr>
            </w:pPr>
            <w:r w:rsidRPr="00F72C6E">
              <w:rPr>
                <w:rFonts w:ascii="Bookman Old Style" w:hAnsi="Bookman Old Style" w:cs="Calibri"/>
                <w:szCs w:val="20"/>
                <w:lang w:eastAsia="en-IN"/>
              </w:rPr>
              <w:t>Bad Debts written off</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rPr>
                <w:rFonts w:ascii="Bookman Old Style" w:hAnsi="Bookman Old Style" w:cs="Calibri"/>
                <w:szCs w:val="20"/>
                <w:lang w:eastAsia="en-IN"/>
              </w:rPr>
            </w:pPr>
            <w:r w:rsidRPr="00F72C6E">
              <w:rPr>
                <w:rFonts w:ascii="Bookman Old Style" w:hAnsi="Bookman Old Style" w:cs="Calibri"/>
                <w:szCs w:val="20"/>
                <w:lang w:eastAsia="en-IN"/>
              </w:rPr>
              <w:t>Loss of materials by pilferage, etc.,</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   </w:t>
            </w:r>
          </w:p>
        </w:tc>
      </w:tr>
      <w:tr w:rsidR="00381ACE" w:rsidRPr="00F72C6E" w:rsidTr="0028515D">
        <w:trPr>
          <w:trHeight w:val="517"/>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rPr>
                <w:rFonts w:ascii="Bookman Old Style" w:hAnsi="Bookman Old Style" w:cs="Calibri"/>
                <w:szCs w:val="20"/>
                <w:lang w:eastAsia="en-IN"/>
              </w:rPr>
            </w:pPr>
            <w:r w:rsidRPr="00F72C6E">
              <w:rPr>
                <w:rFonts w:ascii="Bookman Old Style" w:hAnsi="Bookman Old Style" w:cs="Calibri"/>
                <w:szCs w:val="20"/>
                <w:lang w:eastAsia="en-IN"/>
              </w:rPr>
              <w:t xml:space="preserve">Provision for Loss on obsolescence of stores, </w:t>
            </w:r>
            <w:r w:rsidR="002D0D27" w:rsidRPr="00F72C6E">
              <w:rPr>
                <w:rFonts w:ascii="Bookman Old Style" w:hAnsi="Bookman Old Style" w:cs="Calibri"/>
                <w:szCs w:val="20"/>
                <w:lang w:eastAsia="en-IN"/>
              </w:rPr>
              <w:t>etc.</w:t>
            </w:r>
            <w:r w:rsidRPr="00F72C6E">
              <w:rPr>
                <w:rFonts w:ascii="Bookman Old Style" w:hAnsi="Bookman Old Style" w:cs="Calibri"/>
                <w:szCs w:val="20"/>
                <w:lang w:eastAsia="en-IN"/>
              </w:rPr>
              <w:t xml:space="preserve"> in stock</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0.05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jc w:val="right"/>
              <w:rPr>
                <w:rFonts w:ascii="Bookman Old Style" w:hAnsi="Bookman Old Style" w:cs="Calibri"/>
                <w:b/>
                <w:bCs/>
                <w:szCs w:val="20"/>
                <w:lang w:eastAsia="en-IN"/>
              </w:rPr>
            </w:pPr>
            <w:r w:rsidRPr="00F72C6E">
              <w:rPr>
                <w:rFonts w:ascii="Bookman Old Style" w:hAnsi="Bookman Old Style" w:cs="Calibri"/>
                <w:b/>
                <w:bCs/>
                <w:szCs w:val="20"/>
                <w:lang w:eastAsia="en-IN"/>
              </w:rPr>
              <w:t>Sub total -4</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b/>
                <w:bCs/>
                <w:color w:val="000000"/>
                <w:szCs w:val="20"/>
                <w:lang w:eastAsia="en-IN"/>
              </w:rPr>
            </w:pPr>
            <w:r w:rsidRPr="00F72C6E">
              <w:rPr>
                <w:rFonts w:ascii="Bookman Old Style" w:hAnsi="Bookman Old Style" w:cs="Calibri"/>
                <w:b/>
                <w:bCs/>
                <w:color w:val="000000"/>
                <w:szCs w:val="20"/>
                <w:lang w:eastAsia="en-IN"/>
              </w:rPr>
              <w:t xml:space="preserve">        6.42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rPr>
                <w:rFonts w:ascii="Bookman Old Style" w:hAnsi="Bookman Old Style" w:cs="Calibri"/>
                <w:szCs w:val="20"/>
                <w:lang w:eastAsia="en-IN"/>
              </w:rPr>
            </w:pPr>
            <w:r w:rsidRPr="00F72C6E">
              <w:rPr>
                <w:rFonts w:ascii="Bookman Old Style" w:hAnsi="Bookman Old Style" w:cs="Calibri"/>
                <w:szCs w:val="20"/>
                <w:lang w:eastAsia="en-IN"/>
              </w:rPr>
              <w:t>Interest on belated payment for electricity tax</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rPr>
                <w:rFonts w:ascii="Bookman Old Style" w:hAnsi="Bookman Old Style" w:cs="Calibri"/>
                <w:szCs w:val="20"/>
                <w:lang w:eastAsia="en-IN"/>
              </w:rPr>
            </w:pPr>
            <w:r w:rsidRPr="00F72C6E">
              <w:rPr>
                <w:rFonts w:ascii="Bookman Old Style" w:hAnsi="Bookman Old Style" w:cs="Calibri"/>
                <w:szCs w:val="20"/>
                <w:lang w:eastAsia="en-IN"/>
              </w:rPr>
              <w:t> </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381ACE" w:rsidRPr="00F72C6E" w:rsidRDefault="00381ACE" w:rsidP="00F72C6E">
            <w:pPr>
              <w:spacing w:after="0" w:line="360" w:lineRule="auto"/>
              <w:ind w:right="67"/>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Provision for Bad &amp; doubtful debts</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color w:val="000000"/>
                <w:szCs w:val="20"/>
                <w:lang w:eastAsia="en-IN"/>
              </w:rPr>
            </w:pPr>
            <w:r w:rsidRPr="00F72C6E">
              <w:rPr>
                <w:rFonts w:ascii="Bookman Old Style" w:hAnsi="Bookman Old Style" w:cs="Calibri"/>
                <w:color w:val="000000"/>
                <w:szCs w:val="20"/>
                <w:lang w:eastAsia="en-IN"/>
              </w:rPr>
              <w:t xml:space="preserve">                58.62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381ACE" w:rsidRPr="00F72C6E" w:rsidRDefault="00381ACE" w:rsidP="00F72C6E">
            <w:pPr>
              <w:spacing w:after="0" w:line="360" w:lineRule="auto"/>
              <w:ind w:right="67"/>
              <w:jc w:val="right"/>
              <w:rPr>
                <w:rFonts w:ascii="Bookman Old Style" w:hAnsi="Bookman Old Style" w:cs="Calibri"/>
                <w:b/>
                <w:bCs/>
                <w:szCs w:val="20"/>
                <w:lang w:eastAsia="en-IN"/>
              </w:rPr>
            </w:pPr>
            <w:r w:rsidRPr="00F72C6E">
              <w:rPr>
                <w:rFonts w:ascii="Bookman Old Style" w:hAnsi="Bookman Old Style" w:cs="Calibri"/>
                <w:b/>
                <w:bCs/>
                <w:szCs w:val="20"/>
                <w:lang w:eastAsia="en-IN"/>
              </w:rPr>
              <w:t>Sub total -5</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b/>
                <w:bCs/>
                <w:color w:val="000000"/>
                <w:szCs w:val="20"/>
                <w:lang w:eastAsia="en-IN"/>
              </w:rPr>
            </w:pPr>
            <w:r w:rsidRPr="00F72C6E">
              <w:rPr>
                <w:rFonts w:ascii="Bookman Old Style" w:hAnsi="Bookman Old Style" w:cs="Calibri"/>
                <w:b/>
                <w:bCs/>
                <w:color w:val="000000"/>
                <w:szCs w:val="20"/>
                <w:lang w:eastAsia="en-IN"/>
              </w:rPr>
              <w:t xml:space="preserve">     58.62 </w:t>
            </w:r>
          </w:p>
        </w:tc>
      </w:tr>
      <w:tr w:rsidR="00381ACE" w:rsidRPr="00F72C6E" w:rsidTr="0028515D">
        <w:trPr>
          <w:trHeight w:val="180"/>
          <w:jc w:val="center"/>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381ACE" w:rsidRPr="00F72C6E" w:rsidRDefault="00381ACE" w:rsidP="00F72C6E">
            <w:pPr>
              <w:spacing w:after="0" w:line="360" w:lineRule="auto"/>
              <w:ind w:right="67"/>
              <w:jc w:val="center"/>
              <w:rPr>
                <w:rFonts w:ascii="Bookman Old Style" w:hAnsi="Bookman Old Style" w:cs="Calibri"/>
                <w:b/>
                <w:bCs/>
                <w:color w:val="000000"/>
                <w:szCs w:val="20"/>
                <w:lang w:eastAsia="en-IN"/>
              </w:rPr>
            </w:pPr>
            <w:r w:rsidRPr="00F72C6E">
              <w:rPr>
                <w:rFonts w:ascii="Bookman Old Style" w:hAnsi="Bookman Old Style" w:cs="Calibri"/>
                <w:b/>
                <w:bCs/>
                <w:color w:val="000000"/>
                <w:szCs w:val="20"/>
                <w:lang w:eastAsia="en-IN"/>
              </w:rPr>
              <w:t>Total (Sub total 1+2+3+4+5)</w:t>
            </w:r>
          </w:p>
        </w:tc>
        <w:tc>
          <w:tcPr>
            <w:tcW w:w="2936" w:type="dxa"/>
            <w:tcBorders>
              <w:top w:val="nil"/>
              <w:left w:val="nil"/>
              <w:bottom w:val="single" w:sz="4" w:space="0" w:color="auto"/>
              <w:right w:val="single" w:sz="4" w:space="0" w:color="auto"/>
            </w:tcBorders>
            <w:shd w:val="clear" w:color="auto" w:fill="auto"/>
            <w:vAlign w:val="center"/>
            <w:hideMark/>
          </w:tcPr>
          <w:p w:rsidR="00381ACE" w:rsidRPr="00F72C6E" w:rsidRDefault="00381ACE" w:rsidP="00F72C6E">
            <w:pPr>
              <w:spacing w:after="0" w:line="360" w:lineRule="auto"/>
              <w:ind w:right="67"/>
              <w:jc w:val="center"/>
              <w:rPr>
                <w:rFonts w:ascii="Bookman Old Style" w:hAnsi="Bookman Old Style" w:cs="Calibri"/>
                <w:b/>
                <w:bCs/>
                <w:color w:val="000000"/>
                <w:szCs w:val="20"/>
                <w:lang w:eastAsia="en-IN"/>
              </w:rPr>
            </w:pPr>
            <w:r w:rsidRPr="00F72C6E">
              <w:rPr>
                <w:rFonts w:ascii="Bookman Old Style" w:hAnsi="Bookman Old Style" w:cs="Calibri"/>
                <w:b/>
                <w:bCs/>
                <w:color w:val="000000"/>
                <w:szCs w:val="20"/>
                <w:lang w:eastAsia="en-IN"/>
              </w:rPr>
              <w:t xml:space="preserve">   459.91 </w:t>
            </w:r>
          </w:p>
        </w:tc>
      </w:tr>
    </w:tbl>
    <w:p w:rsidR="00381ACE" w:rsidRDefault="00381ACE" w:rsidP="00717D3E">
      <w:pPr>
        <w:spacing w:after="0" w:line="360" w:lineRule="auto"/>
        <w:ind w:left="720" w:right="67"/>
        <w:jc w:val="both"/>
        <w:rPr>
          <w:rFonts w:ascii="Bookman Old Style" w:eastAsiaTheme="minorEastAsia" w:hAnsi="Bookman Old Style" w:cs="Arial"/>
          <w:b/>
          <w:sz w:val="20"/>
          <w:szCs w:val="26"/>
        </w:rPr>
      </w:pPr>
    </w:p>
    <w:p w:rsidR="00AB7BBE" w:rsidRPr="00F72C6E" w:rsidRDefault="00381ACE" w:rsidP="00F72C6E">
      <w:pPr>
        <w:spacing w:after="0" w:line="360" w:lineRule="auto"/>
        <w:ind w:right="67"/>
        <w:jc w:val="both"/>
        <w:rPr>
          <w:rFonts w:ascii="Bookman Old Style" w:eastAsiaTheme="minorEastAsia" w:hAnsi="Bookman Old Style" w:cs="Arial"/>
          <w:sz w:val="18"/>
          <w:szCs w:val="18"/>
        </w:rPr>
      </w:pPr>
      <w:r>
        <w:rPr>
          <w:rFonts w:ascii="Bookman Old Style" w:eastAsiaTheme="minorEastAsia" w:hAnsi="Bookman Old Style" w:cs="Arial"/>
        </w:rPr>
        <w:t>Items added to other expenses</w:t>
      </w:r>
      <w:r w:rsidR="00DB0E5D">
        <w:rPr>
          <w:rFonts w:ascii="Bookman Old Style" w:eastAsiaTheme="minorEastAsia" w:hAnsi="Bookman Old Style" w:cs="Arial"/>
        </w:rPr>
        <w:t xml:space="preserve"> </w:t>
      </w:r>
      <w:r>
        <w:rPr>
          <w:rFonts w:ascii="Bookman Old Style" w:eastAsiaTheme="minorEastAsia" w:hAnsi="Bookman Old Style" w:cs="Arial"/>
        </w:rPr>
        <w:t>(A&amp;G) are removed and added to the respective heads for the purpose of regulatory computation.</w:t>
      </w:r>
      <w:r w:rsidR="003C4C95" w:rsidRPr="00294DAD">
        <w:rPr>
          <w:rFonts w:ascii="Bookman Old Style" w:hAnsi="Bookman Old Style" w:cs="Calibri"/>
          <w:b/>
          <w:bCs/>
          <w:sz w:val="18"/>
          <w:szCs w:val="18"/>
          <w:lang w:eastAsia="en-IN"/>
        </w:rPr>
        <w:t xml:space="preserve">                                  </w:t>
      </w:r>
      <w:r w:rsidR="00294DAD">
        <w:rPr>
          <w:rFonts w:ascii="Bookman Old Style" w:hAnsi="Bookman Old Style" w:cs="Calibri"/>
          <w:b/>
          <w:bCs/>
          <w:sz w:val="18"/>
          <w:szCs w:val="18"/>
          <w:lang w:eastAsia="en-IN"/>
        </w:rPr>
        <w:t xml:space="preserve">           </w:t>
      </w:r>
    </w:p>
    <w:p w:rsidR="003C4C95" w:rsidRPr="00294DAD" w:rsidRDefault="00AB7BBE" w:rsidP="003C4C95">
      <w:pPr>
        <w:spacing w:line="360" w:lineRule="auto"/>
        <w:ind w:right="67"/>
        <w:jc w:val="center"/>
        <w:rPr>
          <w:rFonts w:ascii="Bookman Old Style" w:hAnsi="Bookman Old Style" w:cs="Calibri"/>
          <w:b/>
          <w:bCs/>
          <w:sz w:val="18"/>
          <w:szCs w:val="18"/>
          <w:lang w:eastAsia="en-IN"/>
        </w:rPr>
      </w:pPr>
      <w:r>
        <w:rPr>
          <w:rFonts w:ascii="Bookman Old Style" w:hAnsi="Bookman Old Style" w:cs="Calibri"/>
          <w:b/>
          <w:bCs/>
          <w:sz w:val="18"/>
          <w:szCs w:val="18"/>
          <w:lang w:eastAsia="en-IN"/>
        </w:rPr>
        <w:lastRenderedPageBreak/>
        <w:t xml:space="preserve">                                              </w:t>
      </w:r>
      <w:r w:rsidR="003C4C95" w:rsidRPr="00294DAD">
        <w:rPr>
          <w:rFonts w:ascii="Bookman Old Style" w:hAnsi="Bookman Old Style" w:cs="Calibri"/>
          <w:b/>
          <w:bCs/>
          <w:sz w:val="18"/>
          <w:szCs w:val="18"/>
          <w:lang w:eastAsia="en-IN"/>
        </w:rPr>
        <w:t xml:space="preserve">  Table 3.</w:t>
      </w:r>
      <w:r w:rsidR="00294DAD" w:rsidRPr="00294DAD">
        <w:rPr>
          <w:rFonts w:ascii="Bookman Old Style" w:hAnsi="Bookman Old Style" w:cs="Calibri"/>
          <w:b/>
          <w:bCs/>
          <w:sz w:val="18"/>
          <w:szCs w:val="18"/>
          <w:lang w:eastAsia="en-IN"/>
        </w:rPr>
        <w:t>2</w:t>
      </w:r>
      <w:r w:rsidR="0028515D">
        <w:rPr>
          <w:rFonts w:ascii="Bookman Old Style" w:hAnsi="Bookman Old Style" w:cs="Calibri"/>
          <w:b/>
          <w:bCs/>
          <w:sz w:val="18"/>
          <w:szCs w:val="18"/>
          <w:lang w:eastAsia="en-IN"/>
        </w:rPr>
        <w:t>2</w:t>
      </w:r>
      <w:r w:rsidR="003C4C95" w:rsidRPr="00294DAD">
        <w:rPr>
          <w:rFonts w:ascii="Bookman Old Style" w:eastAsiaTheme="minorEastAsia" w:hAnsi="Bookman Old Style" w:cs="Arial"/>
          <w:b/>
          <w:sz w:val="18"/>
          <w:szCs w:val="18"/>
        </w:rPr>
        <w:t xml:space="preserve">                               Amount in Crs</w:t>
      </w:r>
    </w:p>
    <w:tbl>
      <w:tblPr>
        <w:tblW w:w="7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230"/>
        <w:gridCol w:w="1768"/>
      </w:tblGrid>
      <w:tr w:rsidR="00381ACE" w:rsidRPr="00F72C6E" w:rsidTr="00E139D2">
        <w:trPr>
          <w:trHeight w:val="374"/>
          <w:jc w:val="center"/>
        </w:trPr>
        <w:tc>
          <w:tcPr>
            <w:tcW w:w="708" w:type="dxa"/>
            <w:shd w:val="clear" w:color="auto" w:fill="auto"/>
            <w:vAlign w:val="center"/>
            <w:hideMark/>
          </w:tcPr>
          <w:p w:rsidR="00381ACE" w:rsidRPr="00F72C6E" w:rsidRDefault="00381ACE" w:rsidP="00F72C6E">
            <w:pPr>
              <w:spacing w:after="0" w:line="276" w:lineRule="auto"/>
              <w:ind w:right="67"/>
              <w:jc w:val="center"/>
              <w:rPr>
                <w:rFonts w:ascii="Bookman Old Style" w:hAnsi="Bookman Old Style" w:cs="Calibri"/>
                <w:b/>
                <w:bCs/>
                <w:lang w:eastAsia="en-IN"/>
              </w:rPr>
            </w:pPr>
            <w:r w:rsidRPr="00F72C6E">
              <w:rPr>
                <w:rFonts w:ascii="Bookman Old Style" w:hAnsi="Bookman Old Style" w:cs="Calibri"/>
                <w:b/>
                <w:bCs/>
                <w:lang w:eastAsia="en-IN"/>
              </w:rPr>
              <w:t>Sl No.</w:t>
            </w:r>
          </w:p>
        </w:tc>
        <w:tc>
          <w:tcPr>
            <w:tcW w:w="5230" w:type="dxa"/>
            <w:shd w:val="clear" w:color="auto" w:fill="auto"/>
            <w:vAlign w:val="center"/>
            <w:hideMark/>
          </w:tcPr>
          <w:p w:rsidR="00381ACE" w:rsidRPr="00F72C6E" w:rsidRDefault="00381ACE" w:rsidP="00F72C6E">
            <w:pPr>
              <w:spacing w:after="0" w:line="276" w:lineRule="auto"/>
              <w:ind w:right="67"/>
              <w:jc w:val="center"/>
              <w:rPr>
                <w:rFonts w:ascii="Bookman Old Style" w:hAnsi="Bookman Old Style" w:cs="Calibri"/>
                <w:b/>
                <w:bCs/>
                <w:lang w:eastAsia="en-IN"/>
              </w:rPr>
            </w:pPr>
            <w:r w:rsidRPr="00F72C6E">
              <w:rPr>
                <w:rFonts w:ascii="Bookman Old Style" w:hAnsi="Bookman Old Style" w:cs="Calibri"/>
                <w:b/>
                <w:bCs/>
                <w:lang w:eastAsia="en-IN"/>
              </w:rPr>
              <w:t>PARTICULARS</w:t>
            </w:r>
          </w:p>
        </w:tc>
        <w:tc>
          <w:tcPr>
            <w:tcW w:w="1768" w:type="dxa"/>
            <w:shd w:val="clear" w:color="auto" w:fill="auto"/>
            <w:vAlign w:val="center"/>
            <w:hideMark/>
          </w:tcPr>
          <w:p w:rsidR="00381ACE" w:rsidRPr="00F72C6E" w:rsidRDefault="00381ACE" w:rsidP="00F72C6E">
            <w:pPr>
              <w:spacing w:after="0" w:line="276" w:lineRule="auto"/>
              <w:ind w:right="67"/>
              <w:jc w:val="center"/>
              <w:rPr>
                <w:rFonts w:ascii="Bookman Old Style" w:hAnsi="Bookman Old Style" w:cs="Calibri"/>
                <w:b/>
                <w:bCs/>
                <w:lang w:eastAsia="en-IN"/>
              </w:rPr>
            </w:pPr>
            <w:r w:rsidRPr="00F72C6E">
              <w:rPr>
                <w:rFonts w:ascii="Bookman Old Style" w:hAnsi="Bookman Old Style" w:cs="Calibri"/>
                <w:b/>
                <w:bCs/>
                <w:lang w:eastAsia="en-IN"/>
              </w:rPr>
              <w:t>Current Year 2019-20</w:t>
            </w:r>
          </w:p>
        </w:tc>
      </w:tr>
      <w:tr w:rsidR="00381ACE" w:rsidRPr="00F72C6E" w:rsidTr="00E139D2">
        <w:trPr>
          <w:trHeight w:val="189"/>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1</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Rent</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28.06</w:t>
            </w:r>
          </w:p>
        </w:tc>
      </w:tr>
      <w:tr w:rsidR="00381ACE" w:rsidRPr="00F72C6E" w:rsidTr="00E139D2">
        <w:trPr>
          <w:trHeight w:val="107"/>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2</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Postage stamps &amp; Telephone charges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8.57</w:t>
            </w:r>
          </w:p>
        </w:tc>
      </w:tr>
      <w:tr w:rsidR="00381ACE" w:rsidRPr="00F72C6E" w:rsidTr="00E139D2">
        <w:trPr>
          <w:trHeight w:val="107"/>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3</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 xml:space="preserve">Remuneration to contract agencies </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242.13</w:t>
            </w:r>
          </w:p>
        </w:tc>
      </w:tr>
      <w:tr w:rsidR="00381ACE" w:rsidRPr="00F72C6E" w:rsidTr="00E139D2">
        <w:trPr>
          <w:trHeight w:val="102"/>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4</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Professional, legal and consultancy</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4.40</w:t>
            </w:r>
          </w:p>
        </w:tc>
      </w:tr>
      <w:tr w:rsidR="00381ACE" w:rsidRPr="00F72C6E" w:rsidTr="00E139D2">
        <w:trPr>
          <w:trHeight w:val="102"/>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5</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Conveyance &amp; Travel expenses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53.40</w:t>
            </w:r>
          </w:p>
        </w:tc>
      </w:tr>
      <w:tr w:rsidR="00381ACE" w:rsidRPr="00F72C6E" w:rsidTr="00E139D2">
        <w:trPr>
          <w:trHeight w:val="102"/>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6</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Fees &amp; Subscriptions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6.06</w:t>
            </w:r>
          </w:p>
        </w:tc>
      </w:tr>
      <w:tr w:rsidR="00381ACE" w:rsidRPr="00F72C6E" w:rsidTr="00E139D2">
        <w:trPr>
          <w:trHeight w:val="130"/>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7</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Printing &amp; Stationery</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5.62</w:t>
            </w:r>
          </w:p>
        </w:tc>
      </w:tr>
      <w:tr w:rsidR="00381ACE" w:rsidRPr="00F72C6E" w:rsidTr="00E139D2">
        <w:trPr>
          <w:trHeight w:val="223"/>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8</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Advertisement Expenses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4.48</w:t>
            </w:r>
          </w:p>
        </w:tc>
      </w:tr>
      <w:tr w:rsidR="00381ACE" w:rsidRPr="00F72C6E" w:rsidTr="00E139D2">
        <w:trPr>
          <w:trHeight w:val="152"/>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9</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Computer stationary and floppies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0.59</w:t>
            </w:r>
          </w:p>
        </w:tc>
      </w:tr>
      <w:tr w:rsidR="00381ACE" w:rsidRPr="00F72C6E" w:rsidTr="00E139D2">
        <w:trPr>
          <w:trHeight w:val="107"/>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10</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Contributions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0.33</w:t>
            </w:r>
          </w:p>
        </w:tc>
      </w:tr>
      <w:tr w:rsidR="00381ACE" w:rsidRPr="00F72C6E" w:rsidTr="00E139D2">
        <w:trPr>
          <w:trHeight w:val="107"/>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11</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Electricity Charges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4.06</w:t>
            </w:r>
          </w:p>
        </w:tc>
      </w:tr>
      <w:tr w:rsidR="00381ACE" w:rsidRPr="00F72C6E" w:rsidTr="00E139D2">
        <w:trPr>
          <w:trHeight w:val="102"/>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12</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Miscellaneous including provisions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0.00</w:t>
            </w:r>
          </w:p>
        </w:tc>
      </w:tr>
      <w:tr w:rsidR="00381ACE" w:rsidRPr="00F72C6E" w:rsidTr="00E139D2">
        <w:trPr>
          <w:trHeight w:val="107"/>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13</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Rates &amp; Taxes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1.13</w:t>
            </w:r>
          </w:p>
        </w:tc>
      </w:tr>
      <w:tr w:rsidR="00381ACE" w:rsidRPr="00F72C6E" w:rsidTr="00E139D2">
        <w:trPr>
          <w:trHeight w:val="107"/>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14</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Water Charges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0.54</w:t>
            </w:r>
          </w:p>
        </w:tc>
      </w:tr>
      <w:tr w:rsidR="00381ACE" w:rsidRPr="00F72C6E" w:rsidTr="00E139D2">
        <w:trPr>
          <w:trHeight w:val="209"/>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15</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DSM Expenses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0.39</w:t>
            </w:r>
          </w:p>
        </w:tc>
      </w:tr>
      <w:tr w:rsidR="00381ACE" w:rsidRPr="00F72C6E" w:rsidTr="00E139D2">
        <w:trPr>
          <w:trHeight w:val="209"/>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16</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Miscellaneous expenses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9.34</w:t>
            </w:r>
          </w:p>
        </w:tc>
      </w:tr>
      <w:tr w:rsidR="00381ACE" w:rsidRPr="00F72C6E" w:rsidTr="00E139D2">
        <w:trPr>
          <w:trHeight w:val="294"/>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 </w:t>
            </w:r>
          </w:p>
        </w:tc>
        <w:tc>
          <w:tcPr>
            <w:tcW w:w="5230" w:type="dxa"/>
            <w:shd w:val="clear" w:color="auto" w:fill="auto"/>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Details of Payments to Auditors (including legal &amp; Professional charges)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 </w:t>
            </w:r>
          </w:p>
        </w:tc>
      </w:tr>
      <w:tr w:rsidR="00381ACE" w:rsidRPr="00F72C6E" w:rsidTr="00E139D2">
        <w:trPr>
          <w:trHeight w:val="160"/>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17</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a) Audit Fees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 </w:t>
            </w:r>
          </w:p>
        </w:tc>
      </w:tr>
      <w:tr w:rsidR="00381ACE" w:rsidRPr="00F72C6E" w:rsidTr="00E139D2">
        <w:trPr>
          <w:trHeight w:val="102"/>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18</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 xml:space="preserve">   -  Statutory Audit Fees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0.12</w:t>
            </w:r>
          </w:p>
        </w:tc>
      </w:tr>
      <w:tr w:rsidR="00381ACE" w:rsidRPr="00F72C6E" w:rsidTr="00E139D2">
        <w:trPr>
          <w:trHeight w:val="102"/>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19</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 xml:space="preserve">   -  Tax Audit Fees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0.02</w:t>
            </w:r>
          </w:p>
        </w:tc>
      </w:tr>
      <w:tr w:rsidR="00381ACE" w:rsidRPr="00F72C6E" w:rsidTr="00E139D2">
        <w:trPr>
          <w:trHeight w:val="102"/>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20</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 xml:space="preserve">   -  GST</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0.00</w:t>
            </w:r>
          </w:p>
        </w:tc>
      </w:tr>
      <w:tr w:rsidR="00381ACE" w:rsidRPr="00F72C6E" w:rsidTr="00E139D2">
        <w:trPr>
          <w:trHeight w:val="413"/>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21</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Cs/>
                <w:lang w:eastAsia="en-IN"/>
              </w:rPr>
            </w:pPr>
            <w:r w:rsidRPr="00F72C6E">
              <w:rPr>
                <w:rFonts w:ascii="Bookman Old Style" w:hAnsi="Bookman Old Style" w:cs="Calibri"/>
                <w:bCs/>
                <w:lang w:eastAsia="en-IN"/>
              </w:rPr>
              <w:t>Expenses towards CSR- (Corporate Social Responsibilities)</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Cs/>
                <w:lang w:eastAsia="en-IN"/>
              </w:rPr>
            </w:pPr>
            <w:r w:rsidRPr="00F72C6E">
              <w:rPr>
                <w:rFonts w:ascii="Bookman Old Style" w:hAnsi="Bookman Old Style" w:cs="Calibri"/>
                <w:bCs/>
                <w:lang w:eastAsia="en-IN"/>
              </w:rPr>
              <w:t>3.00</w:t>
            </w:r>
          </w:p>
        </w:tc>
      </w:tr>
      <w:tr w:rsidR="00381ACE" w:rsidRPr="00F72C6E" w:rsidTr="00E139D2">
        <w:trPr>
          <w:trHeight w:val="107"/>
          <w:jc w:val="center"/>
        </w:trPr>
        <w:tc>
          <w:tcPr>
            <w:tcW w:w="70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
                <w:bCs/>
                <w:lang w:eastAsia="en-IN"/>
              </w:rPr>
            </w:pPr>
            <w:r w:rsidRPr="00F72C6E">
              <w:rPr>
                <w:rFonts w:ascii="Bookman Old Style" w:hAnsi="Bookman Old Style" w:cs="Calibri"/>
                <w:b/>
                <w:bCs/>
                <w:lang w:eastAsia="en-IN"/>
              </w:rPr>
              <w:t> </w:t>
            </w:r>
          </w:p>
        </w:tc>
        <w:tc>
          <w:tcPr>
            <w:tcW w:w="5230" w:type="dxa"/>
            <w:shd w:val="clear" w:color="auto" w:fill="auto"/>
            <w:noWrap/>
            <w:vAlign w:val="center"/>
            <w:hideMark/>
          </w:tcPr>
          <w:p w:rsidR="00381ACE" w:rsidRPr="00F72C6E" w:rsidRDefault="00381ACE" w:rsidP="00F72C6E">
            <w:pPr>
              <w:spacing w:after="0" w:line="276" w:lineRule="auto"/>
              <w:ind w:right="67"/>
              <w:rPr>
                <w:rFonts w:ascii="Bookman Old Style" w:hAnsi="Bookman Old Style" w:cs="Calibri"/>
                <w:b/>
                <w:bCs/>
                <w:lang w:eastAsia="en-IN"/>
              </w:rPr>
            </w:pPr>
            <w:r w:rsidRPr="00F72C6E">
              <w:rPr>
                <w:rFonts w:ascii="Bookman Old Style" w:hAnsi="Bookman Old Style" w:cs="Calibri"/>
                <w:b/>
                <w:bCs/>
                <w:lang w:eastAsia="en-IN"/>
              </w:rPr>
              <w:t>TOTAL</w:t>
            </w:r>
          </w:p>
        </w:tc>
        <w:tc>
          <w:tcPr>
            <w:tcW w:w="1768" w:type="dxa"/>
            <w:shd w:val="clear" w:color="auto" w:fill="auto"/>
            <w:noWrap/>
            <w:vAlign w:val="center"/>
            <w:hideMark/>
          </w:tcPr>
          <w:p w:rsidR="00381ACE" w:rsidRPr="00F72C6E" w:rsidRDefault="00381ACE" w:rsidP="00F72C6E">
            <w:pPr>
              <w:spacing w:after="0" w:line="276" w:lineRule="auto"/>
              <w:ind w:right="67"/>
              <w:jc w:val="right"/>
              <w:rPr>
                <w:rFonts w:ascii="Bookman Old Style" w:hAnsi="Bookman Old Style" w:cs="Calibri"/>
                <w:b/>
                <w:bCs/>
                <w:lang w:eastAsia="en-IN"/>
              </w:rPr>
            </w:pPr>
            <w:r w:rsidRPr="00F72C6E">
              <w:rPr>
                <w:rFonts w:ascii="Bookman Old Style" w:hAnsi="Bookman Old Style" w:cs="Calibri"/>
                <w:b/>
                <w:bCs/>
                <w:lang w:eastAsia="en-IN"/>
              </w:rPr>
              <w:t>372.24</w:t>
            </w:r>
          </w:p>
        </w:tc>
      </w:tr>
    </w:tbl>
    <w:p w:rsidR="00381ACE" w:rsidRDefault="00381ACE" w:rsidP="00717D3E">
      <w:pPr>
        <w:spacing w:line="240" w:lineRule="auto"/>
        <w:ind w:left="5040" w:right="67" w:firstLine="720"/>
        <w:rPr>
          <w:rFonts w:ascii="Bookman Old Style" w:eastAsiaTheme="minorEastAsia" w:hAnsi="Bookman Old Style" w:cs="Arial"/>
          <w:b/>
          <w:sz w:val="20"/>
          <w:szCs w:val="26"/>
        </w:rPr>
      </w:pPr>
    </w:p>
    <w:p w:rsidR="00353C84" w:rsidRPr="00F72C6E" w:rsidRDefault="00381ACE" w:rsidP="0028515D">
      <w:pPr>
        <w:spacing w:line="360" w:lineRule="auto"/>
        <w:ind w:right="67"/>
        <w:jc w:val="both"/>
        <w:rPr>
          <w:rFonts w:ascii="Bookman Old Style" w:hAnsi="Bookman Old Style" w:cs="Calibri"/>
          <w:b/>
          <w:bCs/>
          <w:sz w:val="20"/>
          <w:lang w:eastAsia="en-IN"/>
        </w:rPr>
      </w:pPr>
      <w:r w:rsidRPr="008533C9">
        <w:rPr>
          <w:rFonts w:ascii="Bookman Old Style" w:eastAsiaTheme="minorEastAsia" w:hAnsi="Bookman Old Style" w:cs="Arial"/>
        </w:rPr>
        <w:t xml:space="preserve">The </w:t>
      </w:r>
      <w:r>
        <w:rPr>
          <w:rFonts w:ascii="Bookman Old Style" w:eastAsiaTheme="minorEastAsia" w:hAnsi="Bookman Old Style" w:cs="Arial"/>
        </w:rPr>
        <w:t xml:space="preserve">audited </w:t>
      </w:r>
      <w:r w:rsidRPr="008533C9">
        <w:rPr>
          <w:rFonts w:ascii="Bookman Old Style" w:eastAsiaTheme="minorEastAsia" w:hAnsi="Bookman Old Style" w:cs="Arial"/>
        </w:rPr>
        <w:t>O&amp;M Expenses (net off Capitalization</w:t>
      </w:r>
      <w:r>
        <w:rPr>
          <w:rFonts w:ascii="Bookman Old Style" w:eastAsiaTheme="minorEastAsia" w:hAnsi="Bookman Old Style" w:cs="Arial"/>
        </w:rPr>
        <w:t>) for the FY 2019-20 a</w:t>
      </w:r>
      <w:r w:rsidRPr="00031C3C">
        <w:rPr>
          <w:rFonts w:ascii="Bookman Old Style" w:eastAsiaTheme="minorEastAsia" w:hAnsi="Bookman Old Style" w:cs="Arial"/>
        </w:rPr>
        <w:t xml:space="preserve">s </w:t>
      </w:r>
      <w:r>
        <w:rPr>
          <w:rFonts w:ascii="Bookman Old Style" w:eastAsiaTheme="minorEastAsia" w:hAnsi="Bookman Old Style" w:cs="Arial"/>
        </w:rPr>
        <w:t>per regulatory formats</w:t>
      </w:r>
      <w:r w:rsidRPr="00031C3C">
        <w:rPr>
          <w:rFonts w:ascii="Bookman Old Style" w:eastAsiaTheme="minorEastAsia" w:hAnsi="Bookman Old Style" w:cs="Arial"/>
        </w:rPr>
        <w:t xml:space="preserve"> are as follows:</w:t>
      </w:r>
      <w:r w:rsidR="003C4C95">
        <w:rPr>
          <w:rFonts w:ascii="Bookman Old Style" w:hAnsi="Bookman Old Style" w:cs="Calibri"/>
          <w:b/>
          <w:bCs/>
          <w:sz w:val="20"/>
          <w:lang w:eastAsia="en-IN"/>
        </w:rPr>
        <w:t xml:space="preserve">                                    </w:t>
      </w:r>
      <w:r w:rsidR="00E139D2">
        <w:rPr>
          <w:rFonts w:ascii="Bookman Old Style" w:hAnsi="Bookman Old Style" w:cs="Calibri"/>
          <w:b/>
          <w:bCs/>
          <w:sz w:val="20"/>
          <w:lang w:eastAsia="en-IN"/>
        </w:rPr>
        <w:t xml:space="preserve">             </w:t>
      </w:r>
      <w:r w:rsidR="003C4C95">
        <w:rPr>
          <w:rFonts w:ascii="Bookman Old Style" w:hAnsi="Bookman Old Style" w:cs="Calibri"/>
          <w:b/>
          <w:bCs/>
          <w:sz w:val="20"/>
          <w:lang w:eastAsia="en-IN"/>
        </w:rPr>
        <w:t xml:space="preserve"> </w:t>
      </w:r>
    </w:p>
    <w:p w:rsidR="00381ACE" w:rsidRPr="003C4C95" w:rsidRDefault="00353C84" w:rsidP="003C4C95">
      <w:pPr>
        <w:spacing w:line="360" w:lineRule="auto"/>
        <w:ind w:right="67"/>
        <w:jc w:val="center"/>
        <w:rPr>
          <w:rFonts w:ascii="Bookman Old Style" w:hAnsi="Bookman Old Style" w:cs="Calibri"/>
          <w:b/>
          <w:bCs/>
          <w:sz w:val="20"/>
          <w:lang w:eastAsia="en-IN"/>
        </w:rPr>
      </w:pPr>
      <w:r>
        <w:rPr>
          <w:rFonts w:ascii="Bookman Old Style" w:hAnsi="Bookman Old Style" w:cs="Calibri"/>
          <w:b/>
          <w:bCs/>
          <w:sz w:val="20"/>
          <w:lang w:eastAsia="en-IN"/>
        </w:rPr>
        <w:t xml:space="preserve">                                        </w:t>
      </w:r>
      <w:r w:rsidR="003C4C95" w:rsidRPr="00294DAD">
        <w:rPr>
          <w:rFonts w:ascii="Bookman Old Style" w:hAnsi="Bookman Old Style" w:cs="Calibri"/>
          <w:b/>
          <w:bCs/>
          <w:sz w:val="18"/>
          <w:lang w:eastAsia="en-IN"/>
        </w:rPr>
        <w:t>Table 3.2</w:t>
      </w:r>
      <w:r w:rsidR="0028515D">
        <w:rPr>
          <w:rFonts w:ascii="Bookman Old Style" w:hAnsi="Bookman Old Style" w:cs="Calibri"/>
          <w:b/>
          <w:bCs/>
          <w:sz w:val="18"/>
          <w:lang w:eastAsia="en-IN"/>
        </w:rPr>
        <w:t>3</w:t>
      </w:r>
      <w:r w:rsidR="003C4C95" w:rsidRPr="00294DAD">
        <w:rPr>
          <w:rFonts w:ascii="Bookman Old Style" w:eastAsiaTheme="minorEastAsia" w:hAnsi="Bookman Old Style" w:cs="Arial"/>
          <w:b/>
          <w:sz w:val="18"/>
          <w:szCs w:val="26"/>
        </w:rPr>
        <w:t xml:space="preserve">                                 Amount in Crs</w:t>
      </w:r>
    </w:p>
    <w:tbl>
      <w:tblPr>
        <w:tblW w:w="8203" w:type="dxa"/>
        <w:jc w:val="center"/>
        <w:tblLook w:val="04A0" w:firstRow="1" w:lastRow="0" w:firstColumn="1" w:lastColumn="0" w:noHBand="0" w:noVBand="1"/>
      </w:tblPr>
      <w:tblGrid>
        <w:gridCol w:w="6181"/>
        <w:gridCol w:w="2022"/>
      </w:tblGrid>
      <w:tr w:rsidR="00381ACE" w:rsidRPr="00A13DEE" w:rsidTr="00353C84">
        <w:trPr>
          <w:trHeight w:val="50"/>
          <w:jc w:val="center"/>
        </w:trPr>
        <w:tc>
          <w:tcPr>
            <w:tcW w:w="61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1ACE" w:rsidRPr="00A13DEE" w:rsidRDefault="00381ACE" w:rsidP="00D1177B">
            <w:pPr>
              <w:spacing w:after="0" w:line="276" w:lineRule="auto"/>
              <w:ind w:right="67"/>
              <w:jc w:val="center"/>
              <w:rPr>
                <w:rFonts w:ascii="Bookman Old Style" w:hAnsi="Bookman Old Style" w:cs="Calibri"/>
                <w:b/>
                <w:bCs/>
                <w:lang w:eastAsia="en-IN"/>
              </w:rPr>
            </w:pPr>
            <w:r w:rsidRPr="00A13DEE">
              <w:rPr>
                <w:rFonts w:ascii="Bookman Old Style" w:hAnsi="Bookman Old Style" w:cs="Calibri"/>
                <w:b/>
                <w:bCs/>
                <w:lang w:eastAsia="en-IN"/>
              </w:rPr>
              <w:t>Particulars</w:t>
            </w:r>
          </w:p>
        </w:tc>
        <w:tc>
          <w:tcPr>
            <w:tcW w:w="2022" w:type="dxa"/>
            <w:tcBorders>
              <w:top w:val="single" w:sz="8" w:space="0" w:color="auto"/>
              <w:left w:val="nil"/>
              <w:bottom w:val="single" w:sz="8" w:space="0" w:color="auto"/>
              <w:right w:val="single" w:sz="8" w:space="0" w:color="auto"/>
            </w:tcBorders>
            <w:shd w:val="clear" w:color="auto" w:fill="auto"/>
            <w:noWrap/>
            <w:vAlign w:val="center"/>
            <w:hideMark/>
          </w:tcPr>
          <w:p w:rsidR="00381ACE" w:rsidRPr="00A13DEE" w:rsidRDefault="00381ACE" w:rsidP="00D1177B">
            <w:pPr>
              <w:spacing w:after="0" w:line="276" w:lineRule="auto"/>
              <w:ind w:right="67"/>
              <w:jc w:val="center"/>
              <w:rPr>
                <w:rFonts w:ascii="Bookman Old Style" w:hAnsi="Bookman Old Style" w:cs="Calibri"/>
                <w:b/>
                <w:bCs/>
                <w:lang w:eastAsia="en-IN"/>
              </w:rPr>
            </w:pPr>
            <w:r w:rsidRPr="00A13DEE">
              <w:rPr>
                <w:rFonts w:ascii="Bookman Old Style" w:hAnsi="Bookman Old Style" w:cs="Calibri"/>
                <w:b/>
                <w:bCs/>
                <w:lang w:eastAsia="en-IN"/>
              </w:rPr>
              <w:t>Actual(</w:t>
            </w:r>
            <w:r>
              <w:rPr>
                <w:rFonts w:ascii="Bookman Old Style" w:hAnsi="Bookman Old Style" w:cs="Calibri"/>
                <w:b/>
                <w:bCs/>
                <w:lang w:eastAsia="en-IN"/>
              </w:rPr>
              <w:t>FY-</w:t>
            </w:r>
            <w:r w:rsidRPr="00A13DEE">
              <w:rPr>
                <w:rFonts w:ascii="Bookman Old Style" w:hAnsi="Bookman Old Style" w:cs="Calibri"/>
                <w:b/>
                <w:bCs/>
                <w:lang w:eastAsia="en-IN"/>
              </w:rPr>
              <w:t>20)</w:t>
            </w:r>
          </w:p>
        </w:tc>
      </w:tr>
      <w:tr w:rsidR="00381ACE" w:rsidRPr="00A13DEE" w:rsidTr="00353C84">
        <w:trPr>
          <w:trHeight w:val="318"/>
          <w:jc w:val="center"/>
        </w:trPr>
        <w:tc>
          <w:tcPr>
            <w:tcW w:w="6181" w:type="dxa"/>
            <w:tcBorders>
              <w:top w:val="nil"/>
              <w:left w:val="single" w:sz="8" w:space="0" w:color="auto"/>
              <w:bottom w:val="single" w:sz="8" w:space="0" w:color="auto"/>
              <w:right w:val="single" w:sz="8" w:space="0" w:color="auto"/>
            </w:tcBorders>
            <w:shd w:val="clear" w:color="auto" w:fill="auto"/>
            <w:vAlign w:val="center"/>
            <w:hideMark/>
          </w:tcPr>
          <w:p w:rsidR="00381ACE" w:rsidRPr="00A13DEE" w:rsidRDefault="00381ACE" w:rsidP="00D1177B">
            <w:pPr>
              <w:spacing w:after="0" w:line="276" w:lineRule="auto"/>
              <w:ind w:right="67"/>
              <w:jc w:val="both"/>
              <w:rPr>
                <w:rFonts w:ascii="Bookman Old Style" w:hAnsi="Bookman Old Style" w:cs="Calibri"/>
                <w:lang w:eastAsia="en-IN"/>
              </w:rPr>
            </w:pPr>
            <w:r w:rsidRPr="00A13DEE">
              <w:rPr>
                <w:rFonts w:ascii="Bookman Old Style" w:hAnsi="Bookman Old Style" w:cs="Calibri"/>
                <w:lang w:eastAsia="en-IN"/>
              </w:rPr>
              <w:t>Other o</w:t>
            </w:r>
            <w:r w:rsidR="00FF19FD">
              <w:rPr>
                <w:rFonts w:ascii="Bookman Old Style" w:hAnsi="Bookman Old Style" w:cs="Calibri"/>
                <w:lang w:eastAsia="en-IN"/>
              </w:rPr>
              <w:t xml:space="preserve">perating (Repair &amp; Maintenance) </w:t>
            </w:r>
            <w:r w:rsidRPr="00A13DEE">
              <w:rPr>
                <w:rFonts w:ascii="Bookman Old Style" w:hAnsi="Bookman Old Style" w:cs="Calibri"/>
                <w:lang w:eastAsia="en-IN"/>
              </w:rPr>
              <w:t>expenses excluding Rs. 4.23 Crs towards material cost variance</w:t>
            </w:r>
          </w:p>
        </w:tc>
        <w:tc>
          <w:tcPr>
            <w:tcW w:w="2022" w:type="dxa"/>
            <w:tcBorders>
              <w:top w:val="nil"/>
              <w:left w:val="nil"/>
              <w:bottom w:val="single" w:sz="8" w:space="0" w:color="auto"/>
              <w:right w:val="single" w:sz="8" w:space="0" w:color="auto"/>
            </w:tcBorders>
            <w:shd w:val="clear" w:color="auto" w:fill="auto"/>
            <w:noWrap/>
            <w:vAlign w:val="center"/>
            <w:hideMark/>
          </w:tcPr>
          <w:p w:rsidR="00381ACE" w:rsidRPr="00A13DEE" w:rsidRDefault="00381ACE" w:rsidP="00D1177B">
            <w:pPr>
              <w:spacing w:after="0" w:line="276" w:lineRule="auto"/>
              <w:ind w:right="67"/>
              <w:jc w:val="right"/>
              <w:rPr>
                <w:rFonts w:ascii="Bookman Old Style" w:hAnsi="Bookman Old Style" w:cs="Calibri"/>
                <w:lang w:eastAsia="en-IN"/>
              </w:rPr>
            </w:pPr>
            <w:r w:rsidRPr="00A13DEE">
              <w:rPr>
                <w:rFonts w:ascii="Bookman Old Style" w:hAnsi="Bookman Old Style" w:cs="Calibri"/>
                <w:lang w:eastAsia="en-IN"/>
              </w:rPr>
              <w:t>109.60</w:t>
            </w:r>
          </w:p>
        </w:tc>
      </w:tr>
      <w:tr w:rsidR="00381ACE" w:rsidRPr="00A13DEE" w:rsidTr="00353C84">
        <w:trPr>
          <w:trHeight w:val="183"/>
          <w:jc w:val="center"/>
        </w:trPr>
        <w:tc>
          <w:tcPr>
            <w:tcW w:w="6181" w:type="dxa"/>
            <w:tcBorders>
              <w:top w:val="nil"/>
              <w:left w:val="single" w:sz="8" w:space="0" w:color="auto"/>
              <w:bottom w:val="single" w:sz="8" w:space="0" w:color="auto"/>
              <w:right w:val="single" w:sz="8" w:space="0" w:color="auto"/>
            </w:tcBorders>
            <w:shd w:val="clear" w:color="auto" w:fill="auto"/>
            <w:vAlign w:val="center"/>
            <w:hideMark/>
          </w:tcPr>
          <w:p w:rsidR="00381ACE" w:rsidRPr="00A13DEE" w:rsidRDefault="00381ACE" w:rsidP="00D1177B">
            <w:pPr>
              <w:spacing w:after="0" w:line="276" w:lineRule="auto"/>
              <w:ind w:right="67"/>
              <w:jc w:val="both"/>
              <w:rPr>
                <w:rFonts w:ascii="Bookman Old Style" w:hAnsi="Bookman Old Style" w:cs="Calibri"/>
                <w:lang w:eastAsia="en-IN"/>
              </w:rPr>
            </w:pPr>
            <w:r w:rsidRPr="00A13DEE">
              <w:rPr>
                <w:rFonts w:ascii="Bookman Old Style" w:hAnsi="Bookman Old Style" w:cs="Calibri"/>
                <w:lang w:eastAsia="en-IN"/>
              </w:rPr>
              <w:t>Employee Benefits Expense excluding expense capitalised of Rs.5.27 Crs.</w:t>
            </w:r>
          </w:p>
        </w:tc>
        <w:tc>
          <w:tcPr>
            <w:tcW w:w="2022" w:type="dxa"/>
            <w:tcBorders>
              <w:top w:val="nil"/>
              <w:left w:val="nil"/>
              <w:bottom w:val="single" w:sz="8" w:space="0" w:color="auto"/>
              <w:right w:val="single" w:sz="8" w:space="0" w:color="auto"/>
            </w:tcBorders>
            <w:shd w:val="clear" w:color="auto" w:fill="auto"/>
            <w:noWrap/>
            <w:vAlign w:val="center"/>
            <w:hideMark/>
          </w:tcPr>
          <w:p w:rsidR="00381ACE" w:rsidRPr="00A13DEE" w:rsidRDefault="00381ACE" w:rsidP="00D1177B">
            <w:pPr>
              <w:spacing w:after="0" w:line="276" w:lineRule="auto"/>
              <w:ind w:right="67"/>
              <w:jc w:val="right"/>
              <w:rPr>
                <w:rFonts w:ascii="Bookman Old Style" w:hAnsi="Bookman Old Style" w:cs="Calibri"/>
                <w:lang w:eastAsia="en-IN"/>
              </w:rPr>
            </w:pPr>
            <w:r w:rsidRPr="00A13DEE">
              <w:rPr>
                <w:rFonts w:ascii="Bookman Old Style" w:hAnsi="Bookman Old Style" w:cs="Calibri"/>
                <w:lang w:eastAsia="en-IN"/>
              </w:rPr>
              <w:t>1518.68</w:t>
            </w:r>
          </w:p>
        </w:tc>
      </w:tr>
      <w:tr w:rsidR="00381ACE" w:rsidRPr="00A13DEE" w:rsidTr="00353C84">
        <w:trPr>
          <w:trHeight w:val="183"/>
          <w:jc w:val="center"/>
        </w:trPr>
        <w:tc>
          <w:tcPr>
            <w:tcW w:w="6181" w:type="dxa"/>
            <w:tcBorders>
              <w:top w:val="nil"/>
              <w:left w:val="single" w:sz="8" w:space="0" w:color="auto"/>
              <w:bottom w:val="single" w:sz="8" w:space="0" w:color="auto"/>
              <w:right w:val="single" w:sz="8" w:space="0" w:color="auto"/>
            </w:tcBorders>
            <w:shd w:val="clear" w:color="auto" w:fill="auto"/>
            <w:vAlign w:val="center"/>
            <w:hideMark/>
          </w:tcPr>
          <w:p w:rsidR="00381ACE" w:rsidRPr="00A13DEE" w:rsidRDefault="00381ACE" w:rsidP="00D1177B">
            <w:pPr>
              <w:spacing w:after="0" w:line="276" w:lineRule="auto"/>
              <w:ind w:right="67"/>
              <w:jc w:val="both"/>
              <w:rPr>
                <w:rFonts w:ascii="Bookman Old Style" w:hAnsi="Bookman Old Style" w:cs="Calibri"/>
                <w:lang w:eastAsia="en-IN"/>
              </w:rPr>
            </w:pPr>
            <w:r w:rsidRPr="00A13DEE">
              <w:rPr>
                <w:rFonts w:ascii="Bookman Old Style" w:hAnsi="Bookman Old Style" w:cs="Calibri"/>
                <w:lang w:eastAsia="en-IN"/>
              </w:rPr>
              <w:t>Other expenses excluding expense capitalised of Rs.0.64 Crs.</w:t>
            </w:r>
          </w:p>
        </w:tc>
        <w:tc>
          <w:tcPr>
            <w:tcW w:w="2022" w:type="dxa"/>
            <w:tcBorders>
              <w:top w:val="nil"/>
              <w:left w:val="nil"/>
              <w:bottom w:val="single" w:sz="8" w:space="0" w:color="auto"/>
              <w:right w:val="single" w:sz="8" w:space="0" w:color="auto"/>
            </w:tcBorders>
            <w:shd w:val="clear" w:color="auto" w:fill="auto"/>
            <w:noWrap/>
            <w:vAlign w:val="center"/>
            <w:hideMark/>
          </w:tcPr>
          <w:p w:rsidR="00381ACE" w:rsidRPr="00A13DEE" w:rsidRDefault="00381ACE" w:rsidP="00D1177B">
            <w:pPr>
              <w:spacing w:after="0" w:line="276" w:lineRule="auto"/>
              <w:ind w:right="67"/>
              <w:jc w:val="right"/>
              <w:rPr>
                <w:rFonts w:ascii="Bookman Old Style" w:hAnsi="Bookman Old Style" w:cs="Calibri"/>
                <w:lang w:eastAsia="en-IN"/>
              </w:rPr>
            </w:pPr>
            <w:r w:rsidRPr="00A13DEE">
              <w:rPr>
                <w:rFonts w:ascii="Bookman Old Style" w:hAnsi="Bookman Old Style" w:cs="Calibri"/>
                <w:lang w:eastAsia="en-IN"/>
              </w:rPr>
              <w:t>372.24</w:t>
            </w:r>
          </w:p>
        </w:tc>
      </w:tr>
      <w:tr w:rsidR="00381ACE" w:rsidRPr="00A13DEE" w:rsidTr="00353C84">
        <w:trPr>
          <w:trHeight w:val="52"/>
          <w:jc w:val="center"/>
        </w:trPr>
        <w:tc>
          <w:tcPr>
            <w:tcW w:w="6181" w:type="dxa"/>
            <w:tcBorders>
              <w:top w:val="nil"/>
              <w:left w:val="single" w:sz="8" w:space="0" w:color="auto"/>
              <w:bottom w:val="single" w:sz="8" w:space="0" w:color="auto"/>
              <w:right w:val="single" w:sz="8" w:space="0" w:color="auto"/>
            </w:tcBorders>
            <w:shd w:val="clear" w:color="auto" w:fill="auto"/>
            <w:vAlign w:val="center"/>
            <w:hideMark/>
          </w:tcPr>
          <w:p w:rsidR="00381ACE" w:rsidRPr="00A13DEE" w:rsidRDefault="00381ACE" w:rsidP="00D1177B">
            <w:pPr>
              <w:spacing w:after="0" w:line="276" w:lineRule="auto"/>
              <w:ind w:right="67"/>
              <w:rPr>
                <w:rFonts w:ascii="Bookman Old Style" w:hAnsi="Bookman Old Style" w:cs="Calibri"/>
                <w:b/>
                <w:bCs/>
                <w:lang w:eastAsia="en-IN"/>
              </w:rPr>
            </w:pPr>
            <w:r w:rsidRPr="00A13DEE">
              <w:rPr>
                <w:rFonts w:ascii="Bookman Old Style" w:hAnsi="Bookman Old Style" w:cs="Calibri"/>
                <w:b/>
                <w:bCs/>
                <w:lang w:eastAsia="en-IN"/>
              </w:rPr>
              <w:t>Total</w:t>
            </w:r>
          </w:p>
        </w:tc>
        <w:tc>
          <w:tcPr>
            <w:tcW w:w="2022" w:type="dxa"/>
            <w:tcBorders>
              <w:top w:val="nil"/>
              <w:left w:val="nil"/>
              <w:bottom w:val="single" w:sz="8" w:space="0" w:color="auto"/>
              <w:right w:val="single" w:sz="8" w:space="0" w:color="auto"/>
            </w:tcBorders>
            <w:shd w:val="clear" w:color="auto" w:fill="auto"/>
            <w:noWrap/>
            <w:vAlign w:val="center"/>
            <w:hideMark/>
          </w:tcPr>
          <w:p w:rsidR="00381ACE" w:rsidRPr="00A13DEE" w:rsidRDefault="00381ACE" w:rsidP="00D1177B">
            <w:pPr>
              <w:spacing w:after="0" w:line="276" w:lineRule="auto"/>
              <w:ind w:right="67"/>
              <w:jc w:val="right"/>
              <w:rPr>
                <w:rFonts w:ascii="Bookman Old Style" w:hAnsi="Bookman Old Style" w:cs="Calibri"/>
                <w:b/>
                <w:bCs/>
                <w:lang w:eastAsia="en-IN"/>
              </w:rPr>
            </w:pPr>
            <w:r w:rsidRPr="00A13DEE">
              <w:rPr>
                <w:rFonts w:ascii="Bookman Old Style" w:hAnsi="Bookman Old Style" w:cs="Calibri"/>
                <w:b/>
                <w:bCs/>
                <w:lang w:eastAsia="en-IN"/>
              </w:rPr>
              <w:t>2000.53</w:t>
            </w:r>
          </w:p>
        </w:tc>
      </w:tr>
    </w:tbl>
    <w:p w:rsidR="00381ACE" w:rsidRDefault="00381ACE" w:rsidP="00717D3E">
      <w:pPr>
        <w:spacing w:after="0" w:line="360" w:lineRule="auto"/>
        <w:ind w:left="720" w:right="67"/>
        <w:jc w:val="both"/>
        <w:rPr>
          <w:rFonts w:ascii="Bookman Old Style" w:eastAsiaTheme="minorEastAsia" w:hAnsi="Bookman Old Style" w:cs="Arial"/>
        </w:rPr>
      </w:pPr>
    </w:p>
    <w:p w:rsidR="00381ACE" w:rsidRPr="00164905" w:rsidRDefault="00381ACE" w:rsidP="00DB0E5D">
      <w:pPr>
        <w:spacing w:line="360" w:lineRule="auto"/>
        <w:ind w:right="67"/>
        <w:jc w:val="both"/>
        <w:rPr>
          <w:rFonts w:ascii="Bookman Old Style" w:eastAsiaTheme="minorEastAsia" w:hAnsi="Bookman Old Style" w:cs="Arial"/>
        </w:rPr>
      </w:pPr>
      <w:r w:rsidRPr="00164905">
        <w:rPr>
          <w:rFonts w:ascii="Bookman Old Style" w:eastAsiaTheme="minorEastAsia" w:hAnsi="Bookman Old Style" w:cs="Arial"/>
        </w:rPr>
        <w:lastRenderedPageBreak/>
        <w:t>Commission is approving the O&amp;M expenses on normative basis by considering weighted inflation index of composite series of CPI and WPI and consumer growth rate. Actual inflation rate and consumer growth rate for FY-</w:t>
      </w:r>
      <w:r>
        <w:rPr>
          <w:rFonts w:ascii="Bookman Old Style" w:eastAsiaTheme="minorEastAsia" w:hAnsi="Bookman Old Style" w:cs="Arial"/>
        </w:rPr>
        <w:t>20</w:t>
      </w:r>
      <w:r w:rsidRPr="00164905">
        <w:rPr>
          <w:rFonts w:ascii="Bookman Old Style" w:eastAsiaTheme="minorEastAsia" w:hAnsi="Bookman Old Style" w:cs="Arial"/>
        </w:rPr>
        <w:t xml:space="preserve"> is now available. Considering the actual data, normative O&amp;M expenses is computed as under.</w:t>
      </w:r>
    </w:p>
    <w:p w:rsidR="00D1177B" w:rsidRDefault="00381ACE" w:rsidP="00702CCA">
      <w:pPr>
        <w:spacing w:line="360" w:lineRule="auto"/>
        <w:ind w:right="67"/>
        <w:jc w:val="both"/>
        <w:rPr>
          <w:rFonts w:ascii="Bookman Old Style" w:hAnsi="Bookman Old Style" w:cs="Calibri"/>
          <w:b/>
          <w:bCs/>
          <w:sz w:val="18"/>
          <w:lang w:eastAsia="en-IN"/>
        </w:rPr>
      </w:pPr>
      <w:r w:rsidRPr="00164905">
        <w:rPr>
          <w:rFonts w:ascii="Bookman Old Style" w:eastAsiaTheme="minorEastAsia" w:hAnsi="Bookman Old Style" w:cs="Arial"/>
        </w:rPr>
        <w:t xml:space="preserve">Central Electricity Regulatory Commission (CERC) vide notification dated </w:t>
      </w:r>
      <w:r>
        <w:rPr>
          <w:rFonts w:ascii="Bookman Old Style" w:eastAsiaTheme="minorEastAsia" w:hAnsi="Bookman Old Style" w:cs="Arial"/>
        </w:rPr>
        <w:t>27.03.2020</w:t>
      </w:r>
      <w:r w:rsidRPr="00164905">
        <w:rPr>
          <w:rFonts w:ascii="Bookman Old Style" w:eastAsiaTheme="minorEastAsia" w:hAnsi="Bookman Old Style" w:cs="Arial"/>
        </w:rPr>
        <w:t xml:space="preserve"> notified the escalation rates 20</w:t>
      </w:r>
      <w:r>
        <w:rPr>
          <w:rFonts w:ascii="Bookman Old Style" w:eastAsiaTheme="minorEastAsia" w:hAnsi="Bookman Old Style" w:cs="Arial"/>
        </w:rPr>
        <w:t>20</w:t>
      </w:r>
      <w:r w:rsidRPr="00164905">
        <w:rPr>
          <w:rFonts w:ascii="Bookman Old Style" w:eastAsiaTheme="minorEastAsia" w:hAnsi="Bookman Old Style" w:cs="Arial"/>
        </w:rPr>
        <w:t xml:space="preserve"> for </w:t>
      </w:r>
      <w:r w:rsidRPr="000B200D">
        <w:rPr>
          <w:rFonts w:ascii="Bookman Old Style" w:eastAsiaTheme="minorEastAsia" w:hAnsi="Bookman Old Style" w:cs="Arial"/>
        </w:rPr>
        <w:t>(i) annual escalation rate for escalable transmission charges for the purpose of evaluation; (ii) discount rate for computation of levelized transmission charges for evaluation; and (iii) annual inflation rate for escalable transmission charges for the purpose of payment</w:t>
      </w:r>
      <w:r>
        <w:rPr>
          <w:rFonts w:ascii="Bookman Old Style" w:eastAsiaTheme="minorEastAsia" w:hAnsi="Bookman Old Style" w:cs="Arial"/>
        </w:rPr>
        <w:t xml:space="preserve"> </w:t>
      </w:r>
      <w:r w:rsidRPr="00164905">
        <w:rPr>
          <w:rFonts w:ascii="Bookman Old Style" w:eastAsiaTheme="minorEastAsia" w:hAnsi="Bookman Old Style" w:cs="Arial"/>
        </w:rPr>
        <w:t xml:space="preserve">by arriving composite series of CPI at 55% and WPI at 45%.  </w:t>
      </w:r>
    </w:p>
    <w:p w:rsidR="00381ACE" w:rsidRPr="00294DAD" w:rsidRDefault="004D2832" w:rsidP="004D2832">
      <w:pPr>
        <w:spacing w:after="0" w:line="360" w:lineRule="auto"/>
        <w:ind w:left="720" w:right="67"/>
        <w:jc w:val="center"/>
        <w:rPr>
          <w:rFonts w:ascii="Bookman Old Style" w:eastAsiaTheme="minorEastAsia" w:hAnsi="Bookman Old Style" w:cs="Arial"/>
          <w:sz w:val="20"/>
        </w:rPr>
      </w:pPr>
      <w:r w:rsidRPr="00294DAD">
        <w:rPr>
          <w:rFonts w:ascii="Bookman Old Style" w:hAnsi="Bookman Old Style" w:cs="Calibri"/>
          <w:b/>
          <w:bCs/>
          <w:sz w:val="18"/>
          <w:lang w:eastAsia="en-IN"/>
        </w:rPr>
        <w:t>Table 3.2</w:t>
      </w:r>
      <w:r w:rsidR="0028515D">
        <w:rPr>
          <w:rFonts w:ascii="Bookman Old Style" w:hAnsi="Bookman Old Style" w:cs="Calibri"/>
          <w:b/>
          <w:bCs/>
          <w:sz w:val="18"/>
          <w:lang w:eastAsia="en-IN"/>
        </w:rPr>
        <w:t>4</w:t>
      </w:r>
    </w:p>
    <w:tbl>
      <w:tblPr>
        <w:tblW w:w="9561" w:type="dxa"/>
        <w:jc w:val="center"/>
        <w:tblLayout w:type="fixed"/>
        <w:tblLook w:val="04A0" w:firstRow="1" w:lastRow="0" w:firstColumn="1" w:lastColumn="0" w:noHBand="0" w:noVBand="1"/>
      </w:tblPr>
      <w:tblGrid>
        <w:gridCol w:w="856"/>
        <w:gridCol w:w="860"/>
        <w:gridCol w:w="861"/>
        <w:gridCol w:w="1004"/>
        <w:gridCol w:w="1004"/>
        <w:gridCol w:w="1363"/>
        <w:gridCol w:w="789"/>
        <w:gridCol w:w="918"/>
        <w:gridCol w:w="861"/>
        <w:gridCol w:w="1045"/>
      </w:tblGrid>
      <w:tr w:rsidR="00381ACE" w:rsidRPr="00801A77" w:rsidTr="00353C84">
        <w:trPr>
          <w:trHeight w:val="258"/>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ACE" w:rsidRPr="00DB0E5D" w:rsidRDefault="00381ACE" w:rsidP="00353C84">
            <w:pPr>
              <w:spacing w:after="0" w:line="276" w:lineRule="auto"/>
              <w:ind w:right="67"/>
              <w:jc w:val="center"/>
              <w:rPr>
                <w:rFonts w:ascii="Bookman Old Style" w:hAnsi="Bookman Old Style"/>
                <w:b/>
                <w:sz w:val="20"/>
                <w:szCs w:val="20"/>
                <w:lang w:eastAsia="en-IN"/>
              </w:rPr>
            </w:pPr>
            <w:r w:rsidRPr="00DB0E5D">
              <w:rPr>
                <w:rFonts w:ascii="Bookman Old Style" w:hAnsi="Bookman Old Style"/>
                <w:b/>
                <w:sz w:val="20"/>
                <w:szCs w:val="20"/>
                <w:lang w:eastAsia="en-IN"/>
              </w:rPr>
              <w:t>Year</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81ACE" w:rsidRPr="00DB0E5D" w:rsidRDefault="00381ACE" w:rsidP="00353C84">
            <w:pPr>
              <w:spacing w:after="0" w:line="276" w:lineRule="auto"/>
              <w:ind w:right="67"/>
              <w:jc w:val="center"/>
              <w:rPr>
                <w:rFonts w:ascii="Bookman Old Style" w:hAnsi="Bookman Old Style"/>
                <w:b/>
                <w:sz w:val="20"/>
                <w:szCs w:val="20"/>
                <w:lang w:eastAsia="en-IN"/>
              </w:rPr>
            </w:pPr>
            <w:r w:rsidRPr="00DB0E5D">
              <w:rPr>
                <w:rFonts w:ascii="Bookman Old Style" w:hAnsi="Bookman Old Style"/>
                <w:b/>
                <w:sz w:val="20"/>
                <w:szCs w:val="20"/>
                <w:lang w:eastAsia="en-IN"/>
              </w:rPr>
              <w:t>WPI</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381ACE" w:rsidRPr="00DB0E5D" w:rsidRDefault="00381ACE" w:rsidP="00353C84">
            <w:pPr>
              <w:spacing w:after="0" w:line="276" w:lineRule="auto"/>
              <w:ind w:right="67"/>
              <w:jc w:val="center"/>
              <w:rPr>
                <w:rFonts w:ascii="Bookman Old Style" w:hAnsi="Bookman Old Style"/>
                <w:b/>
                <w:sz w:val="20"/>
                <w:szCs w:val="20"/>
                <w:lang w:eastAsia="en-IN"/>
              </w:rPr>
            </w:pPr>
            <w:r w:rsidRPr="00DB0E5D">
              <w:rPr>
                <w:rFonts w:ascii="Bookman Old Style" w:hAnsi="Bookman Old Style"/>
                <w:b/>
                <w:sz w:val="20"/>
                <w:szCs w:val="20"/>
                <w:lang w:eastAsia="en-IN"/>
              </w:rPr>
              <w:t>CPI</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381ACE" w:rsidRPr="00DB0E5D" w:rsidRDefault="00381ACE" w:rsidP="00353C84">
            <w:pPr>
              <w:spacing w:after="0" w:line="276" w:lineRule="auto"/>
              <w:ind w:right="67"/>
              <w:jc w:val="center"/>
              <w:rPr>
                <w:rFonts w:ascii="Bookman Old Style" w:hAnsi="Bookman Old Style"/>
                <w:b/>
                <w:sz w:val="20"/>
                <w:szCs w:val="20"/>
                <w:lang w:eastAsia="en-IN"/>
              </w:rPr>
            </w:pPr>
            <w:r w:rsidRPr="00DB0E5D">
              <w:rPr>
                <w:rFonts w:ascii="Bookman Old Style" w:hAnsi="Bookman Old Style"/>
                <w:b/>
                <w:sz w:val="20"/>
                <w:szCs w:val="20"/>
                <w:lang w:eastAsia="en-IN"/>
              </w:rPr>
              <w:t>45% of WPI</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381ACE" w:rsidRPr="00DB0E5D" w:rsidRDefault="00381ACE" w:rsidP="00353C84">
            <w:pPr>
              <w:spacing w:after="0" w:line="276" w:lineRule="auto"/>
              <w:ind w:right="67"/>
              <w:jc w:val="center"/>
              <w:rPr>
                <w:rFonts w:ascii="Bookman Old Style" w:hAnsi="Bookman Old Style"/>
                <w:b/>
                <w:sz w:val="20"/>
                <w:szCs w:val="20"/>
                <w:lang w:eastAsia="en-IN"/>
              </w:rPr>
            </w:pPr>
            <w:r w:rsidRPr="00DB0E5D">
              <w:rPr>
                <w:rFonts w:ascii="Bookman Old Style" w:hAnsi="Bookman Old Style"/>
                <w:b/>
                <w:sz w:val="20"/>
                <w:szCs w:val="20"/>
                <w:lang w:eastAsia="en-IN"/>
              </w:rPr>
              <w:t>55% of CPI</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381ACE" w:rsidRPr="00DB0E5D" w:rsidRDefault="00381ACE" w:rsidP="00353C84">
            <w:pPr>
              <w:spacing w:after="0" w:line="276" w:lineRule="auto"/>
              <w:ind w:right="67"/>
              <w:jc w:val="center"/>
              <w:rPr>
                <w:rFonts w:ascii="Bookman Old Style" w:hAnsi="Bookman Old Style"/>
                <w:b/>
                <w:sz w:val="20"/>
                <w:szCs w:val="20"/>
                <w:lang w:eastAsia="en-IN"/>
              </w:rPr>
            </w:pPr>
            <w:r w:rsidRPr="00DB0E5D">
              <w:rPr>
                <w:rFonts w:ascii="Bookman Old Style" w:hAnsi="Bookman Old Style"/>
                <w:b/>
                <w:sz w:val="20"/>
                <w:szCs w:val="20"/>
                <w:lang w:eastAsia="en-IN"/>
              </w:rPr>
              <w:t>Composite series</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381ACE" w:rsidRPr="00801A77" w:rsidRDefault="00381ACE" w:rsidP="00353C84">
            <w:pPr>
              <w:spacing w:after="0" w:line="276" w:lineRule="auto"/>
              <w:ind w:right="67"/>
              <w:jc w:val="center"/>
              <w:rPr>
                <w:rFonts w:ascii="Bookman Old Style" w:hAnsi="Bookman Old Style"/>
                <w:b/>
                <w:bCs/>
                <w:sz w:val="20"/>
                <w:szCs w:val="20"/>
                <w:lang w:eastAsia="en-IN"/>
              </w:rPr>
            </w:pPr>
            <w:r w:rsidRPr="00801A77">
              <w:rPr>
                <w:rFonts w:ascii="Bookman Old Style" w:hAnsi="Bookman Old Style"/>
                <w:b/>
                <w:bCs/>
                <w:sz w:val="20"/>
                <w:szCs w:val="20"/>
                <w:lang w:eastAsia="en-IN"/>
              </w:rPr>
              <w:t>YT/Y1=Rt</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81ACE" w:rsidRPr="00801A77" w:rsidRDefault="00381ACE" w:rsidP="00353C84">
            <w:pPr>
              <w:spacing w:after="0" w:line="276" w:lineRule="auto"/>
              <w:ind w:right="67"/>
              <w:jc w:val="center"/>
              <w:rPr>
                <w:rFonts w:ascii="Bookman Old Style" w:hAnsi="Bookman Old Style"/>
                <w:b/>
                <w:bCs/>
                <w:sz w:val="20"/>
                <w:szCs w:val="20"/>
                <w:lang w:eastAsia="en-IN"/>
              </w:rPr>
            </w:pPr>
            <w:r w:rsidRPr="00801A77">
              <w:rPr>
                <w:rFonts w:ascii="Bookman Old Style" w:hAnsi="Bookman Old Style"/>
                <w:b/>
                <w:bCs/>
                <w:sz w:val="20"/>
                <w:szCs w:val="20"/>
                <w:lang w:eastAsia="en-IN"/>
              </w:rPr>
              <w:t>Ln Rt</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381ACE" w:rsidRPr="00801A77" w:rsidRDefault="00381ACE" w:rsidP="00353C84">
            <w:pPr>
              <w:spacing w:after="0" w:line="276" w:lineRule="auto"/>
              <w:ind w:right="67"/>
              <w:jc w:val="center"/>
              <w:rPr>
                <w:rFonts w:ascii="Bookman Old Style" w:hAnsi="Bookman Old Style"/>
                <w:b/>
                <w:bCs/>
                <w:sz w:val="20"/>
                <w:szCs w:val="20"/>
                <w:lang w:eastAsia="en-IN"/>
              </w:rPr>
            </w:pPr>
            <w:r w:rsidRPr="00801A77">
              <w:rPr>
                <w:rFonts w:ascii="Bookman Old Style" w:hAnsi="Bookman Old Style"/>
                <w:b/>
                <w:bCs/>
                <w:sz w:val="20"/>
                <w:szCs w:val="20"/>
                <w:lang w:eastAsia="en-IN"/>
              </w:rPr>
              <w:t>Year-1(t-1)</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381ACE" w:rsidRPr="00801A77" w:rsidRDefault="00381ACE" w:rsidP="00353C84">
            <w:pPr>
              <w:spacing w:after="0" w:line="276" w:lineRule="auto"/>
              <w:ind w:right="67"/>
              <w:jc w:val="center"/>
              <w:rPr>
                <w:rFonts w:ascii="Bookman Old Style" w:hAnsi="Bookman Old Style"/>
                <w:b/>
                <w:bCs/>
                <w:sz w:val="20"/>
                <w:szCs w:val="20"/>
                <w:lang w:eastAsia="en-IN"/>
              </w:rPr>
            </w:pPr>
            <w:r w:rsidRPr="00801A77">
              <w:rPr>
                <w:rFonts w:ascii="Bookman Old Style" w:hAnsi="Bookman Old Style"/>
                <w:b/>
                <w:bCs/>
                <w:sz w:val="20"/>
                <w:szCs w:val="20"/>
                <w:lang w:eastAsia="en-IN"/>
              </w:rPr>
              <w:t>Product [(t-1) x (Ln Rt)</w:t>
            </w:r>
          </w:p>
        </w:tc>
      </w:tr>
      <w:tr w:rsidR="00381ACE" w:rsidRPr="00801A77" w:rsidTr="00353C84">
        <w:trPr>
          <w:trHeight w:val="258"/>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w:t>
            </w:r>
          </w:p>
        </w:tc>
        <w:tc>
          <w:tcPr>
            <w:tcW w:w="860"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3</w:t>
            </w:r>
          </w:p>
        </w:tc>
        <w:tc>
          <w:tcPr>
            <w:tcW w:w="1004" w:type="dxa"/>
            <w:tcBorders>
              <w:top w:val="nil"/>
              <w:left w:val="nil"/>
              <w:bottom w:val="single" w:sz="4" w:space="0" w:color="auto"/>
              <w:right w:val="single" w:sz="4" w:space="0" w:color="auto"/>
            </w:tcBorders>
            <w:shd w:val="clear" w:color="auto" w:fill="auto"/>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4=45% of (2)</w:t>
            </w:r>
          </w:p>
        </w:tc>
        <w:tc>
          <w:tcPr>
            <w:tcW w:w="1004" w:type="dxa"/>
            <w:tcBorders>
              <w:top w:val="nil"/>
              <w:left w:val="nil"/>
              <w:bottom w:val="single" w:sz="4" w:space="0" w:color="auto"/>
              <w:right w:val="single" w:sz="4" w:space="0" w:color="auto"/>
            </w:tcBorders>
            <w:shd w:val="clear" w:color="auto" w:fill="auto"/>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5=55% of (3)</w:t>
            </w:r>
          </w:p>
        </w:tc>
        <w:tc>
          <w:tcPr>
            <w:tcW w:w="1363" w:type="dxa"/>
            <w:tcBorders>
              <w:top w:val="nil"/>
              <w:left w:val="nil"/>
              <w:bottom w:val="single" w:sz="4" w:space="0" w:color="auto"/>
              <w:right w:val="single" w:sz="4" w:space="0" w:color="auto"/>
            </w:tcBorders>
            <w:shd w:val="clear" w:color="auto" w:fill="auto"/>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6=(4+5)</w:t>
            </w:r>
          </w:p>
        </w:tc>
        <w:tc>
          <w:tcPr>
            <w:tcW w:w="789" w:type="dxa"/>
            <w:tcBorders>
              <w:top w:val="nil"/>
              <w:left w:val="nil"/>
              <w:bottom w:val="single" w:sz="4" w:space="0" w:color="auto"/>
              <w:right w:val="single" w:sz="4" w:space="0" w:color="auto"/>
            </w:tcBorders>
            <w:shd w:val="clear" w:color="auto" w:fill="auto"/>
            <w:vAlign w:val="center"/>
            <w:hideMark/>
          </w:tcPr>
          <w:p w:rsidR="00381ACE" w:rsidRPr="00801A77" w:rsidRDefault="00381ACE" w:rsidP="00353C84">
            <w:pPr>
              <w:spacing w:after="0" w:line="276" w:lineRule="auto"/>
              <w:ind w:right="67"/>
              <w:jc w:val="center"/>
              <w:rPr>
                <w:rFonts w:ascii="Bookman Old Style" w:hAnsi="Bookman Old Style"/>
                <w:b/>
                <w:bCs/>
                <w:sz w:val="20"/>
                <w:szCs w:val="20"/>
                <w:lang w:eastAsia="en-IN"/>
              </w:rPr>
            </w:pPr>
          </w:p>
        </w:tc>
        <w:tc>
          <w:tcPr>
            <w:tcW w:w="918" w:type="dxa"/>
            <w:tcBorders>
              <w:top w:val="nil"/>
              <w:left w:val="nil"/>
              <w:bottom w:val="single" w:sz="4" w:space="0" w:color="auto"/>
              <w:right w:val="single" w:sz="4" w:space="0" w:color="auto"/>
            </w:tcBorders>
            <w:shd w:val="clear" w:color="auto" w:fill="auto"/>
            <w:vAlign w:val="center"/>
            <w:hideMark/>
          </w:tcPr>
          <w:p w:rsidR="00381ACE" w:rsidRPr="00801A77" w:rsidRDefault="00381ACE" w:rsidP="00353C84">
            <w:pPr>
              <w:spacing w:after="0" w:line="276" w:lineRule="auto"/>
              <w:ind w:right="67"/>
              <w:jc w:val="center"/>
              <w:rPr>
                <w:rFonts w:ascii="Bookman Old Style" w:hAnsi="Bookman Old Style"/>
                <w:b/>
                <w:bCs/>
                <w:sz w:val="20"/>
                <w:szCs w:val="20"/>
                <w:lang w:eastAsia="en-IN"/>
              </w:rPr>
            </w:pPr>
          </w:p>
        </w:tc>
        <w:tc>
          <w:tcPr>
            <w:tcW w:w="861" w:type="dxa"/>
            <w:tcBorders>
              <w:top w:val="nil"/>
              <w:left w:val="nil"/>
              <w:bottom w:val="single" w:sz="4" w:space="0" w:color="auto"/>
              <w:right w:val="single" w:sz="4" w:space="0" w:color="auto"/>
            </w:tcBorders>
            <w:shd w:val="clear" w:color="auto" w:fill="auto"/>
            <w:vAlign w:val="center"/>
            <w:hideMark/>
          </w:tcPr>
          <w:p w:rsidR="00381ACE" w:rsidRPr="00801A77" w:rsidRDefault="00381ACE" w:rsidP="00353C84">
            <w:pPr>
              <w:spacing w:after="0" w:line="276" w:lineRule="auto"/>
              <w:ind w:right="67"/>
              <w:jc w:val="center"/>
              <w:rPr>
                <w:rFonts w:ascii="Bookman Old Style" w:hAnsi="Bookman Old Style"/>
                <w:b/>
                <w:bCs/>
                <w:sz w:val="20"/>
                <w:szCs w:val="20"/>
                <w:lang w:eastAsia="en-IN"/>
              </w:rPr>
            </w:pPr>
          </w:p>
        </w:tc>
        <w:tc>
          <w:tcPr>
            <w:tcW w:w="1045" w:type="dxa"/>
            <w:tcBorders>
              <w:top w:val="nil"/>
              <w:left w:val="nil"/>
              <w:bottom w:val="single" w:sz="4" w:space="0" w:color="auto"/>
              <w:right w:val="single" w:sz="4" w:space="0" w:color="auto"/>
            </w:tcBorders>
            <w:shd w:val="clear" w:color="auto" w:fill="auto"/>
            <w:vAlign w:val="center"/>
            <w:hideMark/>
          </w:tcPr>
          <w:p w:rsidR="00381ACE" w:rsidRPr="00801A77" w:rsidRDefault="00381ACE" w:rsidP="00353C84">
            <w:pPr>
              <w:spacing w:after="0" w:line="276" w:lineRule="auto"/>
              <w:ind w:right="67"/>
              <w:jc w:val="center"/>
              <w:rPr>
                <w:rFonts w:ascii="Bookman Old Style" w:hAnsi="Bookman Old Style"/>
                <w:b/>
                <w:bCs/>
                <w:sz w:val="20"/>
                <w:szCs w:val="20"/>
                <w:lang w:eastAsia="en-IN"/>
              </w:rPr>
            </w:pPr>
          </w:p>
        </w:tc>
      </w:tr>
      <w:tr w:rsidR="00381ACE" w:rsidRPr="00801A77" w:rsidTr="00353C84">
        <w:trPr>
          <w:trHeight w:val="129"/>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2008</w:t>
            </w:r>
          </w:p>
        </w:tc>
        <w:tc>
          <w:tcPr>
            <w:tcW w:w="860"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80.0</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141.7</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36.00</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77.92</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113.92</w:t>
            </w: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r>
      <w:tr w:rsidR="00381ACE" w:rsidRPr="00801A77" w:rsidTr="00353C84">
        <w:trPr>
          <w:trHeight w:val="129"/>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2009</w:t>
            </w:r>
          </w:p>
        </w:tc>
        <w:tc>
          <w:tcPr>
            <w:tcW w:w="860"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81.9</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157.1</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36.86</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86.40</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123.25</w:t>
            </w: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1.08</w:t>
            </w: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0.08</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w:t>
            </w: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0.08</w:t>
            </w:r>
          </w:p>
        </w:tc>
      </w:tr>
      <w:tr w:rsidR="00381ACE" w:rsidRPr="00801A77" w:rsidTr="00353C84">
        <w:trPr>
          <w:trHeight w:val="129"/>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2010</w:t>
            </w:r>
          </w:p>
        </w:tc>
        <w:tc>
          <w:tcPr>
            <w:tcW w:w="860"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89.7</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176.0</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40.37</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96.77</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137.14</w:t>
            </w: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1.20</w:t>
            </w: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0.19</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w:t>
            </w: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0.37</w:t>
            </w:r>
          </w:p>
        </w:tc>
      </w:tr>
      <w:tr w:rsidR="00381ACE" w:rsidRPr="00801A77" w:rsidTr="00353C84">
        <w:trPr>
          <w:trHeight w:val="129"/>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2011</w:t>
            </w:r>
          </w:p>
        </w:tc>
        <w:tc>
          <w:tcPr>
            <w:tcW w:w="860"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98.2</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191.5</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44.19</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105.34</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149.53</w:t>
            </w: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1.31</w:t>
            </w: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0.27</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3</w:t>
            </w: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0.82</w:t>
            </w:r>
          </w:p>
        </w:tc>
      </w:tr>
      <w:tr w:rsidR="00381ACE" w:rsidRPr="00801A77" w:rsidTr="00353C84">
        <w:trPr>
          <w:trHeight w:val="129"/>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2012</w:t>
            </w:r>
          </w:p>
        </w:tc>
        <w:tc>
          <w:tcPr>
            <w:tcW w:w="860"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105.7</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209.3</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47.57</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115.12</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162.68</w:t>
            </w: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1.43</w:t>
            </w: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0.36</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4</w:t>
            </w: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1.43</w:t>
            </w:r>
          </w:p>
        </w:tc>
      </w:tr>
      <w:tr w:rsidR="00381ACE" w:rsidRPr="00801A77" w:rsidTr="00353C84">
        <w:trPr>
          <w:trHeight w:val="129"/>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2013</w:t>
            </w:r>
          </w:p>
        </w:tc>
        <w:tc>
          <w:tcPr>
            <w:tcW w:w="860"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111.1</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232.2</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50.00</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127.69</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177.69</w:t>
            </w: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1.56</w:t>
            </w: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0.44</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5</w:t>
            </w: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2.22</w:t>
            </w:r>
          </w:p>
        </w:tc>
      </w:tr>
      <w:tr w:rsidR="00381ACE" w:rsidRPr="00801A77" w:rsidTr="00353C84">
        <w:trPr>
          <w:trHeight w:val="129"/>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2014</w:t>
            </w:r>
          </w:p>
        </w:tc>
        <w:tc>
          <w:tcPr>
            <w:tcW w:w="860"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114.8</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246.9</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51.66</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135.80</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187.46</w:t>
            </w: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1.65</w:t>
            </w: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0.50</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6</w:t>
            </w: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2.99</w:t>
            </w:r>
          </w:p>
        </w:tc>
      </w:tr>
      <w:tr w:rsidR="00381ACE" w:rsidRPr="00801A77" w:rsidTr="00353C84">
        <w:trPr>
          <w:trHeight w:val="129"/>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2015</w:t>
            </w:r>
          </w:p>
        </w:tc>
        <w:tc>
          <w:tcPr>
            <w:tcW w:w="860"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110.3</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261.4</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49.64</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143.77</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193.41</w:t>
            </w: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1.70</w:t>
            </w: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0.53</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7</w:t>
            </w: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3.70</w:t>
            </w:r>
          </w:p>
        </w:tc>
      </w:tr>
      <w:tr w:rsidR="00381ACE" w:rsidRPr="00801A77" w:rsidTr="00353C84">
        <w:trPr>
          <w:trHeight w:val="129"/>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2016</w:t>
            </w:r>
          </w:p>
        </w:tc>
        <w:tc>
          <w:tcPr>
            <w:tcW w:w="860"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110.3</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274.3</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49.64</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150.89</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200.52</w:t>
            </w: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1.76</w:t>
            </w: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0.57</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8</w:t>
            </w: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4.52</w:t>
            </w:r>
          </w:p>
        </w:tc>
      </w:tr>
      <w:tr w:rsidR="00381ACE" w:rsidRPr="00801A77" w:rsidTr="00353C84">
        <w:trPr>
          <w:trHeight w:val="129"/>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2017</w:t>
            </w:r>
          </w:p>
        </w:tc>
        <w:tc>
          <w:tcPr>
            <w:tcW w:w="860"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114.1</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281.2</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51.35</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154.63</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205.98</w:t>
            </w: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1.81</w:t>
            </w: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0.59</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9</w:t>
            </w: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5.33</w:t>
            </w:r>
          </w:p>
        </w:tc>
      </w:tr>
      <w:tr w:rsidR="00381ACE" w:rsidRPr="00801A77" w:rsidTr="00353C84">
        <w:trPr>
          <w:trHeight w:val="129"/>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2018</w:t>
            </w:r>
          </w:p>
        </w:tc>
        <w:tc>
          <w:tcPr>
            <w:tcW w:w="860"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118.9</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294.8</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53.52</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162.16</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215.68</w:t>
            </w: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1.89</w:t>
            </w: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0.64</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10</w:t>
            </w: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6.38</w:t>
            </w:r>
          </w:p>
        </w:tc>
      </w:tr>
      <w:tr w:rsidR="00381ACE" w:rsidRPr="00801A77" w:rsidTr="00353C84">
        <w:trPr>
          <w:trHeight w:val="129"/>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2019</w:t>
            </w:r>
          </w:p>
        </w:tc>
        <w:tc>
          <w:tcPr>
            <w:tcW w:w="860"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121.2</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317.4</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54.54</w:t>
            </w:r>
          </w:p>
        </w:tc>
        <w:tc>
          <w:tcPr>
            <w:tcW w:w="1004"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174.57</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229.11</w:t>
            </w: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2.01</w:t>
            </w: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0.70</w:t>
            </w: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11</w:t>
            </w: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7.69</w:t>
            </w:r>
          </w:p>
        </w:tc>
      </w:tr>
      <w:tr w:rsidR="00381ACE" w:rsidRPr="00801A77" w:rsidTr="00353C84">
        <w:trPr>
          <w:trHeight w:val="129"/>
          <w:jc w:val="center"/>
        </w:trPr>
        <w:tc>
          <w:tcPr>
            <w:tcW w:w="45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A = Sum of "product"</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35.53</w:t>
            </w:r>
          </w:p>
        </w:tc>
      </w:tr>
      <w:tr w:rsidR="00381ACE" w:rsidRPr="00801A77" w:rsidTr="00353C84">
        <w:trPr>
          <w:trHeight w:val="129"/>
          <w:jc w:val="center"/>
        </w:trPr>
        <w:tc>
          <w:tcPr>
            <w:tcW w:w="45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B= 6 times (6 x A)</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213.16</w:t>
            </w:r>
          </w:p>
        </w:tc>
      </w:tr>
      <w:tr w:rsidR="00381ACE" w:rsidRPr="00801A77" w:rsidTr="00353C84">
        <w:trPr>
          <w:trHeight w:val="129"/>
          <w:jc w:val="center"/>
        </w:trPr>
        <w:tc>
          <w:tcPr>
            <w:tcW w:w="45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C= (n-1) x n x (2n-1); n = No. of Years of data = 12</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3036</w:t>
            </w:r>
          </w:p>
        </w:tc>
      </w:tr>
      <w:tr w:rsidR="00381ACE" w:rsidRPr="00801A77" w:rsidTr="00353C84">
        <w:trPr>
          <w:trHeight w:val="129"/>
          <w:jc w:val="center"/>
        </w:trPr>
        <w:tc>
          <w:tcPr>
            <w:tcW w:w="45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D = B/C</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0.07</w:t>
            </w:r>
          </w:p>
        </w:tc>
      </w:tr>
      <w:tr w:rsidR="00381ACE" w:rsidRPr="00801A77" w:rsidTr="00353C84">
        <w:trPr>
          <w:trHeight w:val="129"/>
          <w:jc w:val="center"/>
        </w:trPr>
        <w:tc>
          <w:tcPr>
            <w:tcW w:w="45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g (Exponential Factor) = Exponential (D) -1</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0.07</w:t>
            </w:r>
          </w:p>
        </w:tc>
      </w:tr>
      <w:tr w:rsidR="00381ACE" w:rsidRPr="00801A77" w:rsidTr="00353C84">
        <w:trPr>
          <w:trHeight w:val="129"/>
          <w:jc w:val="center"/>
        </w:trPr>
        <w:tc>
          <w:tcPr>
            <w:tcW w:w="45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e = Annual Escalation Rate (%) = g x100</w:t>
            </w:r>
          </w:p>
        </w:tc>
        <w:tc>
          <w:tcPr>
            <w:tcW w:w="1363"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789"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918"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861"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p>
        </w:tc>
        <w:tc>
          <w:tcPr>
            <w:tcW w:w="1045" w:type="dxa"/>
            <w:tcBorders>
              <w:top w:val="nil"/>
              <w:left w:val="nil"/>
              <w:bottom w:val="single" w:sz="4" w:space="0" w:color="auto"/>
              <w:right w:val="single" w:sz="4" w:space="0" w:color="auto"/>
            </w:tcBorders>
            <w:shd w:val="clear" w:color="auto" w:fill="auto"/>
            <w:noWrap/>
            <w:vAlign w:val="center"/>
            <w:hideMark/>
          </w:tcPr>
          <w:p w:rsidR="00381ACE" w:rsidRPr="00801A77" w:rsidRDefault="00381ACE" w:rsidP="00353C84">
            <w:pPr>
              <w:spacing w:after="0" w:line="276" w:lineRule="auto"/>
              <w:ind w:right="67"/>
              <w:jc w:val="center"/>
              <w:rPr>
                <w:rFonts w:ascii="Bookman Old Style" w:hAnsi="Bookman Old Style"/>
                <w:sz w:val="20"/>
                <w:szCs w:val="20"/>
                <w:lang w:eastAsia="en-IN"/>
              </w:rPr>
            </w:pPr>
            <w:r w:rsidRPr="00801A77">
              <w:rPr>
                <w:rFonts w:ascii="Bookman Old Style" w:hAnsi="Bookman Old Style"/>
                <w:sz w:val="20"/>
                <w:szCs w:val="20"/>
                <w:lang w:eastAsia="en-IN"/>
              </w:rPr>
              <w:t>7.27</w:t>
            </w:r>
          </w:p>
        </w:tc>
      </w:tr>
    </w:tbl>
    <w:p w:rsidR="00381ACE" w:rsidRDefault="00381ACE" w:rsidP="00717D3E">
      <w:pPr>
        <w:spacing w:after="0" w:line="360" w:lineRule="auto"/>
        <w:ind w:left="720" w:right="67"/>
        <w:jc w:val="both"/>
        <w:rPr>
          <w:rFonts w:ascii="Bookman Old Style" w:eastAsiaTheme="minorEastAsia" w:hAnsi="Bookman Old Style" w:cs="Arial"/>
        </w:rPr>
      </w:pPr>
    </w:p>
    <w:p w:rsidR="00381ACE" w:rsidRDefault="00381ACE" w:rsidP="00DB0E5D">
      <w:pPr>
        <w:spacing w:line="360" w:lineRule="auto"/>
        <w:ind w:right="67"/>
        <w:jc w:val="both"/>
        <w:rPr>
          <w:rFonts w:ascii="Bookman Old Style" w:eastAsiaTheme="minorEastAsia" w:hAnsi="Bookman Old Style" w:cs="Arial"/>
        </w:rPr>
      </w:pPr>
      <w:r w:rsidRPr="00786AD3">
        <w:rPr>
          <w:rFonts w:ascii="Bookman Old Style" w:eastAsiaTheme="minorEastAsia" w:hAnsi="Bookman Old Style" w:cs="Arial"/>
        </w:rPr>
        <w:t xml:space="preserve">Recomposing the above table by considering CPI at </w:t>
      </w:r>
      <w:r>
        <w:rPr>
          <w:rFonts w:ascii="Bookman Old Style" w:eastAsiaTheme="minorEastAsia" w:hAnsi="Bookman Old Style" w:cs="Arial"/>
        </w:rPr>
        <w:t>80</w:t>
      </w:r>
      <w:r w:rsidRPr="00786AD3">
        <w:rPr>
          <w:rFonts w:ascii="Bookman Old Style" w:eastAsiaTheme="minorEastAsia" w:hAnsi="Bookman Old Style" w:cs="Arial"/>
        </w:rPr>
        <w:t xml:space="preserve">% and WPI at </w:t>
      </w:r>
      <w:r>
        <w:rPr>
          <w:rFonts w:ascii="Bookman Old Style" w:eastAsiaTheme="minorEastAsia" w:hAnsi="Bookman Old Style" w:cs="Arial"/>
        </w:rPr>
        <w:t>20</w:t>
      </w:r>
      <w:r w:rsidRPr="00786AD3">
        <w:rPr>
          <w:rFonts w:ascii="Bookman Old Style" w:eastAsiaTheme="minorEastAsia" w:hAnsi="Bookman Old Style" w:cs="Arial"/>
        </w:rPr>
        <w:t>% being the weightage of employee expense as percentage of total O&amp;M cost for CPI (WI) and the weightage of R&amp;M and A&amp;G as a percentage of total O&amp;M cost for WPI respectively. Actual weighted inflation is as follows.</w:t>
      </w:r>
    </w:p>
    <w:p w:rsidR="00381ACE" w:rsidRPr="00294DAD" w:rsidRDefault="004D2832" w:rsidP="00353C84">
      <w:pPr>
        <w:spacing w:after="0" w:line="276" w:lineRule="auto"/>
        <w:ind w:left="720" w:right="67"/>
        <w:jc w:val="center"/>
        <w:rPr>
          <w:rFonts w:ascii="Bookman Old Style" w:eastAsiaTheme="minorEastAsia" w:hAnsi="Bookman Old Style" w:cs="Arial"/>
          <w:sz w:val="20"/>
        </w:rPr>
      </w:pPr>
      <w:r w:rsidRPr="00294DAD">
        <w:rPr>
          <w:rFonts w:ascii="Bookman Old Style" w:hAnsi="Bookman Old Style" w:cs="Calibri"/>
          <w:b/>
          <w:bCs/>
          <w:sz w:val="18"/>
          <w:lang w:eastAsia="en-IN"/>
        </w:rPr>
        <w:lastRenderedPageBreak/>
        <w:t>Table 3.2</w:t>
      </w:r>
      <w:r w:rsidR="0028515D">
        <w:rPr>
          <w:rFonts w:ascii="Bookman Old Style" w:hAnsi="Bookman Old Style" w:cs="Calibri"/>
          <w:b/>
          <w:bCs/>
          <w:sz w:val="18"/>
          <w:lang w:eastAsia="en-IN"/>
        </w:rPr>
        <w:t>5</w:t>
      </w:r>
    </w:p>
    <w:tbl>
      <w:tblPr>
        <w:tblW w:w="10032" w:type="dxa"/>
        <w:jc w:val="center"/>
        <w:tblLayout w:type="fixed"/>
        <w:tblLook w:val="04A0" w:firstRow="1" w:lastRow="0" w:firstColumn="1" w:lastColumn="0" w:noHBand="0" w:noVBand="1"/>
      </w:tblPr>
      <w:tblGrid>
        <w:gridCol w:w="846"/>
        <w:gridCol w:w="850"/>
        <w:gridCol w:w="851"/>
        <w:gridCol w:w="992"/>
        <w:gridCol w:w="998"/>
        <w:gridCol w:w="1367"/>
        <w:gridCol w:w="850"/>
        <w:gridCol w:w="901"/>
        <w:gridCol w:w="850"/>
        <w:gridCol w:w="1527"/>
      </w:tblGrid>
      <w:tr w:rsidR="00381ACE" w:rsidRPr="007566EE" w:rsidTr="00353C84">
        <w:trPr>
          <w:trHeight w:val="63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ACE" w:rsidRPr="00DB0E5D" w:rsidRDefault="00381ACE" w:rsidP="00353C84">
            <w:pPr>
              <w:spacing w:after="0" w:line="276" w:lineRule="auto"/>
              <w:ind w:right="67"/>
              <w:jc w:val="center"/>
              <w:rPr>
                <w:rFonts w:ascii="Bookman Old Style" w:hAnsi="Bookman Old Style"/>
                <w:b/>
                <w:sz w:val="20"/>
                <w:szCs w:val="20"/>
                <w:lang w:eastAsia="en-IN"/>
              </w:rPr>
            </w:pPr>
            <w:r w:rsidRPr="00DB0E5D">
              <w:rPr>
                <w:rFonts w:ascii="Bookman Old Style" w:hAnsi="Bookman Old Style"/>
                <w:b/>
                <w:sz w:val="20"/>
                <w:szCs w:val="20"/>
                <w:lang w:eastAsia="en-IN"/>
              </w:rPr>
              <w:t>Year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1ACE" w:rsidRPr="00DB0E5D" w:rsidRDefault="00381ACE" w:rsidP="00353C84">
            <w:pPr>
              <w:spacing w:after="0" w:line="276" w:lineRule="auto"/>
              <w:ind w:right="67"/>
              <w:jc w:val="center"/>
              <w:rPr>
                <w:rFonts w:ascii="Bookman Old Style" w:hAnsi="Bookman Old Style"/>
                <w:b/>
                <w:sz w:val="20"/>
                <w:szCs w:val="20"/>
                <w:lang w:eastAsia="en-IN"/>
              </w:rPr>
            </w:pPr>
            <w:r w:rsidRPr="00DB0E5D">
              <w:rPr>
                <w:rFonts w:ascii="Bookman Old Style" w:hAnsi="Bookman Old Style"/>
                <w:b/>
                <w:sz w:val="20"/>
                <w:szCs w:val="20"/>
                <w:lang w:eastAsia="en-IN"/>
              </w:rPr>
              <w:t>WPI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81ACE" w:rsidRPr="00DB0E5D" w:rsidRDefault="00381ACE" w:rsidP="00353C84">
            <w:pPr>
              <w:spacing w:after="0" w:line="276" w:lineRule="auto"/>
              <w:ind w:right="67"/>
              <w:jc w:val="center"/>
              <w:rPr>
                <w:rFonts w:ascii="Bookman Old Style" w:hAnsi="Bookman Old Style"/>
                <w:b/>
                <w:sz w:val="20"/>
                <w:szCs w:val="20"/>
                <w:lang w:eastAsia="en-IN"/>
              </w:rPr>
            </w:pPr>
            <w:r w:rsidRPr="00DB0E5D">
              <w:rPr>
                <w:rFonts w:ascii="Bookman Old Style" w:hAnsi="Bookman Old Style"/>
                <w:b/>
                <w:sz w:val="20"/>
                <w:szCs w:val="20"/>
                <w:lang w:eastAsia="en-IN"/>
              </w:rPr>
              <w:t>CPI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1ACE" w:rsidRPr="00DB0E5D" w:rsidRDefault="00381ACE" w:rsidP="00353C84">
            <w:pPr>
              <w:spacing w:after="0" w:line="276" w:lineRule="auto"/>
              <w:ind w:right="67"/>
              <w:jc w:val="center"/>
              <w:rPr>
                <w:rFonts w:ascii="Bookman Old Style" w:hAnsi="Bookman Old Style"/>
                <w:b/>
                <w:sz w:val="20"/>
                <w:szCs w:val="20"/>
                <w:lang w:eastAsia="en-IN"/>
              </w:rPr>
            </w:pPr>
            <w:r w:rsidRPr="00DB0E5D">
              <w:rPr>
                <w:rFonts w:ascii="Bookman Old Style" w:hAnsi="Bookman Old Style"/>
                <w:b/>
                <w:sz w:val="20"/>
                <w:szCs w:val="20"/>
                <w:lang w:eastAsia="en-IN"/>
              </w:rPr>
              <w:t>20% of WPI</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381ACE" w:rsidRPr="00DB0E5D" w:rsidRDefault="00381ACE" w:rsidP="00353C84">
            <w:pPr>
              <w:spacing w:after="0" w:line="276" w:lineRule="auto"/>
              <w:ind w:right="67"/>
              <w:jc w:val="center"/>
              <w:rPr>
                <w:rFonts w:ascii="Bookman Old Style" w:hAnsi="Bookman Old Style"/>
                <w:b/>
                <w:sz w:val="20"/>
                <w:szCs w:val="20"/>
                <w:lang w:eastAsia="en-IN"/>
              </w:rPr>
            </w:pPr>
            <w:r w:rsidRPr="00DB0E5D">
              <w:rPr>
                <w:rFonts w:ascii="Bookman Old Style" w:hAnsi="Bookman Old Style"/>
                <w:b/>
                <w:sz w:val="20"/>
                <w:szCs w:val="20"/>
                <w:lang w:eastAsia="en-IN"/>
              </w:rPr>
              <w:t>80%of CPI</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381ACE" w:rsidRPr="00DB0E5D" w:rsidRDefault="00381ACE" w:rsidP="00353C84">
            <w:pPr>
              <w:spacing w:after="0" w:line="276" w:lineRule="auto"/>
              <w:ind w:right="67"/>
              <w:jc w:val="center"/>
              <w:rPr>
                <w:rFonts w:ascii="Bookman Old Style" w:hAnsi="Bookman Old Style"/>
                <w:b/>
                <w:sz w:val="20"/>
                <w:szCs w:val="20"/>
                <w:lang w:eastAsia="en-IN"/>
              </w:rPr>
            </w:pPr>
            <w:r w:rsidRPr="00DB0E5D">
              <w:rPr>
                <w:rFonts w:ascii="Bookman Old Style" w:hAnsi="Bookman Old Style"/>
                <w:b/>
                <w:sz w:val="20"/>
                <w:szCs w:val="20"/>
                <w:lang w:eastAsia="en-IN"/>
              </w:rPr>
              <w:t>Composite series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1ACE" w:rsidRPr="007566EE" w:rsidRDefault="00381ACE" w:rsidP="00353C84">
            <w:pPr>
              <w:spacing w:after="0" w:line="276" w:lineRule="auto"/>
              <w:ind w:right="67"/>
              <w:jc w:val="center"/>
              <w:rPr>
                <w:rFonts w:ascii="Bookman Old Style" w:hAnsi="Bookman Old Style"/>
                <w:b/>
                <w:bCs/>
                <w:sz w:val="20"/>
                <w:szCs w:val="20"/>
                <w:lang w:eastAsia="en-IN"/>
              </w:rPr>
            </w:pPr>
            <w:r w:rsidRPr="007566EE">
              <w:rPr>
                <w:rFonts w:ascii="Bookman Old Style" w:hAnsi="Bookman Old Style"/>
                <w:b/>
                <w:bCs/>
                <w:sz w:val="20"/>
                <w:szCs w:val="20"/>
                <w:lang w:eastAsia="en-IN"/>
              </w:rPr>
              <w:t>YT/Y1=Rt</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381ACE" w:rsidRPr="007566EE" w:rsidRDefault="00381ACE" w:rsidP="00353C84">
            <w:pPr>
              <w:spacing w:after="0" w:line="276" w:lineRule="auto"/>
              <w:ind w:right="67"/>
              <w:jc w:val="center"/>
              <w:rPr>
                <w:rFonts w:ascii="Bookman Old Style" w:hAnsi="Bookman Old Style"/>
                <w:b/>
                <w:bCs/>
                <w:sz w:val="20"/>
                <w:szCs w:val="20"/>
                <w:lang w:eastAsia="en-IN"/>
              </w:rPr>
            </w:pPr>
            <w:r w:rsidRPr="007566EE">
              <w:rPr>
                <w:rFonts w:ascii="Bookman Old Style" w:hAnsi="Bookman Old Style"/>
                <w:b/>
                <w:bCs/>
                <w:sz w:val="20"/>
                <w:szCs w:val="20"/>
                <w:lang w:eastAsia="en-IN"/>
              </w:rPr>
              <w:t>Ln Rt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1ACE" w:rsidRPr="007566EE" w:rsidRDefault="00381ACE" w:rsidP="00353C84">
            <w:pPr>
              <w:spacing w:after="0" w:line="276" w:lineRule="auto"/>
              <w:ind w:right="67"/>
              <w:jc w:val="center"/>
              <w:rPr>
                <w:rFonts w:ascii="Bookman Old Style" w:hAnsi="Bookman Old Style"/>
                <w:b/>
                <w:bCs/>
                <w:sz w:val="20"/>
                <w:szCs w:val="20"/>
                <w:lang w:eastAsia="en-IN"/>
              </w:rPr>
            </w:pPr>
            <w:r w:rsidRPr="007566EE">
              <w:rPr>
                <w:rFonts w:ascii="Bookman Old Style" w:hAnsi="Bookman Old Style"/>
                <w:b/>
                <w:bCs/>
                <w:sz w:val="20"/>
                <w:szCs w:val="20"/>
                <w:lang w:eastAsia="en-IN"/>
              </w:rPr>
              <w:t>Year-1(t-1)</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381ACE" w:rsidRPr="007566EE" w:rsidRDefault="00381ACE" w:rsidP="00353C84">
            <w:pPr>
              <w:spacing w:after="0" w:line="276" w:lineRule="auto"/>
              <w:ind w:right="67"/>
              <w:jc w:val="center"/>
              <w:rPr>
                <w:rFonts w:ascii="Bookman Old Style" w:hAnsi="Bookman Old Style"/>
                <w:b/>
                <w:bCs/>
                <w:sz w:val="20"/>
                <w:szCs w:val="20"/>
                <w:lang w:eastAsia="en-IN"/>
              </w:rPr>
            </w:pPr>
            <w:r w:rsidRPr="007566EE">
              <w:rPr>
                <w:rFonts w:ascii="Bookman Old Style" w:hAnsi="Bookman Old Style"/>
                <w:b/>
                <w:bCs/>
                <w:sz w:val="20"/>
                <w:szCs w:val="20"/>
                <w:lang w:eastAsia="en-IN"/>
              </w:rPr>
              <w:t>Product [(t-1) x (Ln Rt)</w:t>
            </w:r>
          </w:p>
        </w:tc>
      </w:tr>
      <w:tr w:rsidR="00381ACE" w:rsidRPr="007566EE" w:rsidTr="00353C84">
        <w:trPr>
          <w:trHeight w:val="63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1</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2</w:t>
            </w:r>
          </w:p>
        </w:tc>
        <w:tc>
          <w:tcPr>
            <w:tcW w:w="85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3</w:t>
            </w:r>
          </w:p>
        </w:tc>
        <w:tc>
          <w:tcPr>
            <w:tcW w:w="992" w:type="dxa"/>
            <w:tcBorders>
              <w:top w:val="nil"/>
              <w:left w:val="nil"/>
              <w:bottom w:val="single" w:sz="4" w:space="0" w:color="auto"/>
              <w:right w:val="single" w:sz="4" w:space="0" w:color="auto"/>
            </w:tcBorders>
            <w:shd w:val="clear" w:color="auto" w:fill="auto"/>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4=20% of (2)</w:t>
            </w:r>
          </w:p>
        </w:tc>
        <w:tc>
          <w:tcPr>
            <w:tcW w:w="998" w:type="dxa"/>
            <w:tcBorders>
              <w:top w:val="nil"/>
              <w:left w:val="nil"/>
              <w:bottom w:val="single" w:sz="4" w:space="0" w:color="auto"/>
              <w:right w:val="single" w:sz="4" w:space="0" w:color="auto"/>
            </w:tcBorders>
            <w:shd w:val="clear" w:color="auto" w:fill="auto"/>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5=80% of (3)</w:t>
            </w:r>
          </w:p>
        </w:tc>
        <w:tc>
          <w:tcPr>
            <w:tcW w:w="1367" w:type="dxa"/>
            <w:tcBorders>
              <w:top w:val="nil"/>
              <w:left w:val="nil"/>
              <w:bottom w:val="single" w:sz="4" w:space="0" w:color="auto"/>
              <w:right w:val="single" w:sz="4" w:space="0" w:color="auto"/>
            </w:tcBorders>
            <w:shd w:val="clear" w:color="auto" w:fill="auto"/>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6=(4+5)</w:t>
            </w:r>
          </w:p>
        </w:tc>
        <w:tc>
          <w:tcPr>
            <w:tcW w:w="850" w:type="dxa"/>
            <w:tcBorders>
              <w:top w:val="nil"/>
              <w:left w:val="nil"/>
              <w:bottom w:val="single" w:sz="4" w:space="0" w:color="auto"/>
              <w:right w:val="single" w:sz="4" w:space="0" w:color="auto"/>
            </w:tcBorders>
            <w:shd w:val="clear" w:color="auto" w:fill="auto"/>
            <w:vAlign w:val="center"/>
            <w:hideMark/>
          </w:tcPr>
          <w:p w:rsidR="00381ACE" w:rsidRPr="007566EE" w:rsidRDefault="00381ACE" w:rsidP="00353C84">
            <w:pPr>
              <w:spacing w:after="0" w:line="276" w:lineRule="auto"/>
              <w:ind w:right="67"/>
              <w:jc w:val="center"/>
              <w:rPr>
                <w:rFonts w:ascii="Bookman Old Style" w:hAnsi="Bookman Old Style"/>
                <w:b/>
                <w:bCs/>
                <w:sz w:val="20"/>
                <w:szCs w:val="20"/>
                <w:lang w:eastAsia="en-IN"/>
              </w:rPr>
            </w:pPr>
          </w:p>
        </w:tc>
        <w:tc>
          <w:tcPr>
            <w:tcW w:w="901" w:type="dxa"/>
            <w:tcBorders>
              <w:top w:val="nil"/>
              <w:left w:val="nil"/>
              <w:bottom w:val="single" w:sz="4" w:space="0" w:color="auto"/>
              <w:right w:val="single" w:sz="4" w:space="0" w:color="auto"/>
            </w:tcBorders>
            <w:shd w:val="clear" w:color="auto" w:fill="auto"/>
            <w:vAlign w:val="center"/>
            <w:hideMark/>
          </w:tcPr>
          <w:p w:rsidR="00381ACE" w:rsidRPr="007566EE" w:rsidRDefault="00381ACE" w:rsidP="00353C84">
            <w:pPr>
              <w:spacing w:after="0" w:line="276" w:lineRule="auto"/>
              <w:ind w:right="67"/>
              <w:jc w:val="center"/>
              <w:rPr>
                <w:rFonts w:ascii="Bookman Old Style" w:hAnsi="Bookman Old Style"/>
                <w:b/>
                <w:bCs/>
                <w:sz w:val="20"/>
                <w:szCs w:val="20"/>
                <w:lang w:eastAsia="en-IN"/>
              </w:rPr>
            </w:pPr>
          </w:p>
        </w:tc>
        <w:tc>
          <w:tcPr>
            <w:tcW w:w="850" w:type="dxa"/>
            <w:tcBorders>
              <w:top w:val="nil"/>
              <w:left w:val="nil"/>
              <w:bottom w:val="single" w:sz="4" w:space="0" w:color="auto"/>
              <w:right w:val="single" w:sz="4" w:space="0" w:color="auto"/>
            </w:tcBorders>
            <w:shd w:val="clear" w:color="auto" w:fill="auto"/>
            <w:vAlign w:val="center"/>
            <w:hideMark/>
          </w:tcPr>
          <w:p w:rsidR="00381ACE" w:rsidRPr="007566EE" w:rsidRDefault="00381ACE" w:rsidP="00353C84">
            <w:pPr>
              <w:spacing w:after="0" w:line="276" w:lineRule="auto"/>
              <w:ind w:right="67"/>
              <w:jc w:val="center"/>
              <w:rPr>
                <w:rFonts w:ascii="Bookman Old Style" w:hAnsi="Bookman Old Style"/>
                <w:b/>
                <w:bCs/>
                <w:sz w:val="20"/>
                <w:szCs w:val="20"/>
                <w:lang w:eastAsia="en-IN"/>
              </w:rPr>
            </w:pPr>
          </w:p>
        </w:tc>
        <w:tc>
          <w:tcPr>
            <w:tcW w:w="1527" w:type="dxa"/>
            <w:tcBorders>
              <w:top w:val="nil"/>
              <w:left w:val="nil"/>
              <w:bottom w:val="single" w:sz="4" w:space="0" w:color="auto"/>
              <w:right w:val="single" w:sz="4" w:space="0" w:color="auto"/>
            </w:tcBorders>
            <w:shd w:val="clear" w:color="auto" w:fill="auto"/>
            <w:vAlign w:val="center"/>
            <w:hideMark/>
          </w:tcPr>
          <w:p w:rsidR="00381ACE" w:rsidRPr="007566EE" w:rsidRDefault="00381ACE" w:rsidP="00353C84">
            <w:pPr>
              <w:spacing w:after="0" w:line="276" w:lineRule="auto"/>
              <w:ind w:right="67"/>
              <w:jc w:val="center"/>
              <w:rPr>
                <w:rFonts w:ascii="Bookman Old Style" w:hAnsi="Bookman Old Style"/>
                <w:b/>
                <w:bCs/>
                <w:sz w:val="20"/>
                <w:szCs w:val="20"/>
                <w:lang w:eastAsia="en-IN"/>
              </w:rPr>
            </w:pPr>
          </w:p>
        </w:tc>
      </w:tr>
      <w:tr w:rsidR="00381ACE" w:rsidRPr="007566EE" w:rsidTr="00353C84">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2008</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80.0</w:t>
            </w:r>
          </w:p>
        </w:tc>
        <w:tc>
          <w:tcPr>
            <w:tcW w:w="85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141.7</w:t>
            </w:r>
          </w:p>
        </w:tc>
        <w:tc>
          <w:tcPr>
            <w:tcW w:w="992"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16.00</w:t>
            </w:r>
          </w:p>
        </w:tc>
        <w:tc>
          <w:tcPr>
            <w:tcW w:w="998"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113.34</w:t>
            </w:r>
          </w:p>
        </w:tc>
        <w:tc>
          <w:tcPr>
            <w:tcW w:w="136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129.34</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p>
        </w:tc>
        <w:tc>
          <w:tcPr>
            <w:tcW w:w="90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p>
        </w:tc>
        <w:tc>
          <w:tcPr>
            <w:tcW w:w="152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p>
        </w:tc>
      </w:tr>
      <w:tr w:rsidR="00381ACE" w:rsidRPr="007566EE" w:rsidTr="00353C84">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2009</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81.9</w:t>
            </w:r>
          </w:p>
        </w:tc>
        <w:tc>
          <w:tcPr>
            <w:tcW w:w="85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157.1</w:t>
            </w:r>
          </w:p>
        </w:tc>
        <w:tc>
          <w:tcPr>
            <w:tcW w:w="992"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16.38</w:t>
            </w:r>
          </w:p>
        </w:tc>
        <w:tc>
          <w:tcPr>
            <w:tcW w:w="998"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125.67</w:t>
            </w:r>
          </w:p>
        </w:tc>
        <w:tc>
          <w:tcPr>
            <w:tcW w:w="136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142.05</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1.10</w:t>
            </w:r>
          </w:p>
        </w:tc>
        <w:tc>
          <w:tcPr>
            <w:tcW w:w="90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0.09</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w:t>
            </w:r>
          </w:p>
        </w:tc>
        <w:tc>
          <w:tcPr>
            <w:tcW w:w="152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0.09</w:t>
            </w:r>
          </w:p>
        </w:tc>
      </w:tr>
      <w:tr w:rsidR="00381ACE" w:rsidRPr="007566EE" w:rsidTr="00353C84">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2010</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89.7</w:t>
            </w:r>
          </w:p>
        </w:tc>
        <w:tc>
          <w:tcPr>
            <w:tcW w:w="85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176.0</w:t>
            </w:r>
          </w:p>
        </w:tc>
        <w:tc>
          <w:tcPr>
            <w:tcW w:w="992"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17.94</w:t>
            </w:r>
          </w:p>
        </w:tc>
        <w:tc>
          <w:tcPr>
            <w:tcW w:w="998"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140.76</w:t>
            </w:r>
          </w:p>
        </w:tc>
        <w:tc>
          <w:tcPr>
            <w:tcW w:w="136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158.70</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1.23</w:t>
            </w:r>
          </w:p>
        </w:tc>
        <w:tc>
          <w:tcPr>
            <w:tcW w:w="90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0.20</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w:t>
            </w:r>
          </w:p>
        </w:tc>
        <w:tc>
          <w:tcPr>
            <w:tcW w:w="152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0.41</w:t>
            </w:r>
          </w:p>
        </w:tc>
      </w:tr>
      <w:tr w:rsidR="00381ACE" w:rsidRPr="007566EE" w:rsidTr="00353C84">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2011</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98.2</w:t>
            </w:r>
          </w:p>
        </w:tc>
        <w:tc>
          <w:tcPr>
            <w:tcW w:w="85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191.5</w:t>
            </w:r>
          </w:p>
        </w:tc>
        <w:tc>
          <w:tcPr>
            <w:tcW w:w="992"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19.64</w:t>
            </w:r>
          </w:p>
        </w:tc>
        <w:tc>
          <w:tcPr>
            <w:tcW w:w="998"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153.22</w:t>
            </w:r>
          </w:p>
        </w:tc>
        <w:tc>
          <w:tcPr>
            <w:tcW w:w="136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172.86</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1.34</w:t>
            </w:r>
          </w:p>
        </w:tc>
        <w:tc>
          <w:tcPr>
            <w:tcW w:w="90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0.29</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3</w:t>
            </w:r>
          </w:p>
        </w:tc>
        <w:tc>
          <w:tcPr>
            <w:tcW w:w="152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0.87</w:t>
            </w:r>
          </w:p>
        </w:tc>
      </w:tr>
      <w:tr w:rsidR="00381ACE" w:rsidRPr="007566EE" w:rsidTr="00353C84">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2012</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105.7</w:t>
            </w:r>
          </w:p>
        </w:tc>
        <w:tc>
          <w:tcPr>
            <w:tcW w:w="85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209.3</w:t>
            </w:r>
          </w:p>
        </w:tc>
        <w:tc>
          <w:tcPr>
            <w:tcW w:w="992"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21.14</w:t>
            </w:r>
          </w:p>
        </w:tc>
        <w:tc>
          <w:tcPr>
            <w:tcW w:w="998"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167.44</w:t>
            </w:r>
          </w:p>
        </w:tc>
        <w:tc>
          <w:tcPr>
            <w:tcW w:w="136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188.58</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1.46</w:t>
            </w:r>
          </w:p>
        </w:tc>
        <w:tc>
          <w:tcPr>
            <w:tcW w:w="90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0.38</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4</w:t>
            </w:r>
          </w:p>
        </w:tc>
        <w:tc>
          <w:tcPr>
            <w:tcW w:w="152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1.51</w:t>
            </w:r>
          </w:p>
        </w:tc>
      </w:tr>
      <w:tr w:rsidR="00381ACE" w:rsidRPr="007566EE" w:rsidTr="00353C84">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2013</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111.1</w:t>
            </w:r>
          </w:p>
        </w:tc>
        <w:tc>
          <w:tcPr>
            <w:tcW w:w="85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232.2</w:t>
            </w:r>
          </w:p>
        </w:tc>
        <w:tc>
          <w:tcPr>
            <w:tcW w:w="992"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22.22</w:t>
            </w:r>
          </w:p>
        </w:tc>
        <w:tc>
          <w:tcPr>
            <w:tcW w:w="998"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185.74</w:t>
            </w:r>
          </w:p>
        </w:tc>
        <w:tc>
          <w:tcPr>
            <w:tcW w:w="136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207.96</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1.61</w:t>
            </w:r>
          </w:p>
        </w:tc>
        <w:tc>
          <w:tcPr>
            <w:tcW w:w="90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0.47</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5</w:t>
            </w:r>
          </w:p>
        </w:tc>
        <w:tc>
          <w:tcPr>
            <w:tcW w:w="152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2.37</w:t>
            </w:r>
          </w:p>
        </w:tc>
      </w:tr>
      <w:tr w:rsidR="00381ACE" w:rsidRPr="007566EE" w:rsidTr="00353C84">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2014</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114.8</w:t>
            </w:r>
          </w:p>
        </w:tc>
        <w:tc>
          <w:tcPr>
            <w:tcW w:w="85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246.9</w:t>
            </w:r>
          </w:p>
        </w:tc>
        <w:tc>
          <w:tcPr>
            <w:tcW w:w="992"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22.96</w:t>
            </w:r>
          </w:p>
        </w:tc>
        <w:tc>
          <w:tcPr>
            <w:tcW w:w="998"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197.52</w:t>
            </w:r>
          </w:p>
        </w:tc>
        <w:tc>
          <w:tcPr>
            <w:tcW w:w="136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220.48</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1.70</w:t>
            </w:r>
          </w:p>
        </w:tc>
        <w:tc>
          <w:tcPr>
            <w:tcW w:w="90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0.53</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6</w:t>
            </w:r>
          </w:p>
        </w:tc>
        <w:tc>
          <w:tcPr>
            <w:tcW w:w="152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3.20</w:t>
            </w:r>
          </w:p>
        </w:tc>
      </w:tr>
      <w:tr w:rsidR="00381ACE" w:rsidRPr="007566EE" w:rsidTr="00BA5825">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2015</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110.3</w:t>
            </w:r>
          </w:p>
        </w:tc>
        <w:tc>
          <w:tcPr>
            <w:tcW w:w="85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261.4</w:t>
            </w:r>
          </w:p>
        </w:tc>
        <w:tc>
          <w:tcPr>
            <w:tcW w:w="992"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22.06</w:t>
            </w:r>
          </w:p>
        </w:tc>
        <w:tc>
          <w:tcPr>
            <w:tcW w:w="998"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209.12</w:t>
            </w:r>
          </w:p>
        </w:tc>
        <w:tc>
          <w:tcPr>
            <w:tcW w:w="136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231.18</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1.79</w:t>
            </w:r>
          </w:p>
        </w:tc>
        <w:tc>
          <w:tcPr>
            <w:tcW w:w="901"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0.58</w:t>
            </w:r>
          </w:p>
        </w:tc>
        <w:tc>
          <w:tcPr>
            <w:tcW w:w="850"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7</w:t>
            </w:r>
          </w:p>
        </w:tc>
        <w:tc>
          <w:tcPr>
            <w:tcW w:w="1527" w:type="dxa"/>
            <w:tcBorders>
              <w:top w:val="nil"/>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4.07</w:t>
            </w:r>
          </w:p>
        </w:tc>
      </w:tr>
      <w:tr w:rsidR="00381ACE" w:rsidRPr="007566EE" w:rsidTr="00BA5825">
        <w:trPr>
          <w:trHeight w:val="31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2016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110.3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274.3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22.06</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219.47</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241.53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1.87</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0.62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8</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5.00</w:t>
            </w:r>
          </w:p>
        </w:tc>
      </w:tr>
      <w:tr w:rsidR="00381ACE" w:rsidRPr="007566EE" w:rsidTr="00BA5825">
        <w:trPr>
          <w:trHeight w:val="31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2017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114.1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281.2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22.82</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224.92</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247.74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1.92</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9</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5.85</w:t>
            </w:r>
          </w:p>
        </w:tc>
      </w:tr>
      <w:tr w:rsidR="00381ACE" w:rsidRPr="007566EE" w:rsidTr="00BA5825">
        <w:trPr>
          <w:trHeight w:val="31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2018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118.9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294.8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23.78</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235.84</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259.62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2.01</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10</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6.97</w:t>
            </w:r>
          </w:p>
        </w:tc>
      </w:tr>
      <w:tr w:rsidR="00381ACE" w:rsidRPr="007566EE" w:rsidTr="00BA5825">
        <w:trPr>
          <w:trHeight w:val="31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2019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121.2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317.4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24.24</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253.92</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278.16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2.15</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0.77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11</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8.42</w:t>
            </w:r>
          </w:p>
        </w:tc>
      </w:tr>
      <w:tr w:rsidR="00381ACE" w:rsidRPr="007566EE" w:rsidTr="00BA5825">
        <w:trPr>
          <w:trHeight w:val="315"/>
          <w:jc w:val="center"/>
        </w:trPr>
        <w:tc>
          <w:tcPr>
            <w:tcW w:w="45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A = Sum of "product"</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38.76</w:t>
            </w:r>
          </w:p>
        </w:tc>
      </w:tr>
      <w:tr w:rsidR="00381ACE" w:rsidRPr="007566EE" w:rsidTr="00BA5825">
        <w:trPr>
          <w:trHeight w:val="315"/>
          <w:jc w:val="center"/>
        </w:trPr>
        <w:tc>
          <w:tcPr>
            <w:tcW w:w="45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B= 6 times (6 x A)</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232.54</w:t>
            </w:r>
          </w:p>
        </w:tc>
      </w:tr>
      <w:tr w:rsidR="00381ACE" w:rsidRPr="007566EE" w:rsidTr="00BA5825">
        <w:trPr>
          <w:trHeight w:val="315"/>
          <w:jc w:val="center"/>
        </w:trPr>
        <w:tc>
          <w:tcPr>
            <w:tcW w:w="45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C= (n-1) x n x (2n-1); n = No. of Years of data = 12</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3036</w:t>
            </w:r>
          </w:p>
        </w:tc>
      </w:tr>
      <w:tr w:rsidR="00381ACE" w:rsidRPr="007566EE" w:rsidTr="00BA5825">
        <w:trPr>
          <w:trHeight w:val="315"/>
          <w:jc w:val="center"/>
        </w:trPr>
        <w:tc>
          <w:tcPr>
            <w:tcW w:w="45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D = B/C</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0.08</w:t>
            </w:r>
          </w:p>
        </w:tc>
      </w:tr>
      <w:tr w:rsidR="00381ACE" w:rsidRPr="007566EE" w:rsidTr="00BA5825">
        <w:trPr>
          <w:trHeight w:val="315"/>
          <w:jc w:val="center"/>
        </w:trPr>
        <w:tc>
          <w:tcPr>
            <w:tcW w:w="45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g (Exponential Factor) = Exponential (D) -1</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0.08</w:t>
            </w:r>
          </w:p>
        </w:tc>
      </w:tr>
      <w:tr w:rsidR="00381ACE" w:rsidRPr="007566EE" w:rsidTr="00BA5825">
        <w:trPr>
          <w:trHeight w:val="315"/>
          <w:jc w:val="center"/>
        </w:trPr>
        <w:tc>
          <w:tcPr>
            <w:tcW w:w="45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r w:rsidRPr="007566EE">
              <w:rPr>
                <w:rFonts w:ascii="Bookman Old Style" w:hAnsi="Bookman Old Style"/>
                <w:sz w:val="20"/>
                <w:szCs w:val="20"/>
                <w:lang w:eastAsia="en-IN"/>
              </w:rPr>
              <w:t>e = Annual Escalation Rate (%) = g x100</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53C84">
            <w:pPr>
              <w:spacing w:after="0" w:line="276" w:lineRule="auto"/>
              <w:ind w:right="67"/>
              <w:jc w:val="center"/>
              <w:rPr>
                <w:rFonts w:ascii="Bookman Old Style" w:hAnsi="Bookman Old Style"/>
                <w:sz w:val="20"/>
                <w:szCs w:val="20"/>
                <w:lang w:eastAsia="en-IN"/>
              </w:rPr>
            </w:pP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381ACE" w:rsidRPr="007566EE" w:rsidRDefault="00381ACE" w:rsidP="0033491E">
            <w:pPr>
              <w:spacing w:after="0" w:line="276" w:lineRule="auto"/>
              <w:ind w:right="67"/>
              <w:jc w:val="right"/>
              <w:rPr>
                <w:rFonts w:ascii="Bookman Old Style" w:hAnsi="Bookman Old Style"/>
                <w:sz w:val="20"/>
                <w:szCs w:val="20"/>
                <w:lang w:eastAsia="en-IN"/>
              </w:rPr>
            </w:pPr>
            <w:r w:rsidRPr="007566EE">
              <w:rPr>
                <w:rFonts w:ascii="Bookman Old Style" w:hAnsi="Bookman Old Style"/>
                <w:sz w:val="20"/>
                <w:szCs w:val="20"/>
                <w:lang w:eastAsia="en-IN"/>
              </w:rPr>
              <w:t>7.96</w:t>
            </w:r>
          </w:p>
        </w:tc>
      </w:tr>
    </w:tbl>
    <w:p w:rsidR="00381ACE" w:rsidRDefault="00381ACE" w:rsidP="00717D3E">
      <w:pPr>
        <w:spacing w:after="0" w:line="360" w:lineRule="auto"/>
        <w:ind w:left="720" w:right="67"/>
        <w:jc w:val="both"/>
        <w:rPr>
          <w:rFonts w:ascii="Bookman Old Style" w:eastAsiaTheme="minorEastAsia" w:hAnsi="Bookman Old Style" w:cs="Arial"/>
        </w:rPr>
      </w:pPr>
    </w:p>
    <w:p w:rsidR="00381ACE" w:rsidRPr="00786AD3" w:rsidRDefault="00381ACE" w:rsidP="00717D3E">
      <w:pPr>
        <w:spacing w:after="0" w:line="360" w:lineRule="auto"/>
        <w:ind w:right="67"/>
        <w:jc w:val="both"/>
        <w:rPr>
          <w:rFonts w:ascii="Bookman Old Style" w:eastAsiaTheme="minorEastAsia" w:hAnsi="Bookman Old Style" w:cs="Arial"/>
        </w:rPr>
      </w:pPr>
      <w:r w:rsidRPr="00786AD3">
        <w:rPr>
          <w:rFonts w:ascii="Bookman Old Style" w:eastAsiaTheme="minorEastAsia" w:hAnsi="Bookman Old Style" w:cs="Arial"/>
        </w:rPr>
        <w:t>Weighted inflation rate to be considered for F</w:t>
      </w:r>
      <w:r>
        <w:rPr>
          <w:rFonts w:ascii="Bookman Old Style" w:eastAsiaTheme="minorEastAsia" w:hAnsi="Bookman Old Style" w:cs="Arial"/>
        </w:rPr>
        <w:t xml:space="preserve">Y-20 </w:t>
      </w:r>
      <w:r w:rsidRPr="00786AD3">
        <w:rPr>
          <w:rFonts w:ascii="Bookman Old Style" w:eastAsiaTheme="minorEastAsia" w:hAnsi="Bookman Old Style" w:cs="Arial"/>
        </w:rPr>
        <w:t xml:space="preserve">is </w:t>
      </w:r>
      <w:r>
        <w:rPr>
          <w:rFonts w:ascii="Bookman Old Style" w:eastAsiaTheme="minorEastAsia" w:hAnsi="Bookman Old Style" w:cs="Arial"/>
        </w:rPr>
        <w:t>7.96</w:t>
      </w:r>
      <w:r w:rsidRPr="00786AD3">
        <w:rPr>
          <w:rFonts w:ascii="Bookman Old Style" w:eastAsiaTheme="minorEastAsia" w:hAnsi="Bookman Old Style" w:cs="Arial"/>
        </w:rPr>
        <w:t>%</w:t>
      </w:r>
    </w:p>
    <w:p w:rsidR="00381ACE" w:rsidRDefault="00381ACE" w:rsidP="00717D3E">
      <w:pPr>
        <w:spacing w:after="0" w:line="240" w:lineRule="auto"/>
        <w:ind w:right="67"/>
        <w:jc w:val="both"/>
        <w:rPr>
          <w:rFonts w:asciiTheme="majorHAnsi" w:hAnsiTheme="majorHAnsi" w:cs="Calibri"/>
          <w:b/>
          <w:bCs/>
          <w:color w:val="00B050"/>
          <w:sz w:val="24"/>
          <w:szCs w:val="28"/>
        </w:rPr>
      </w:pPr>
    </w:p>
    <w:p w:rsidR="00381ACE" w:rsidRPr="00E208CA" w:rsidRDefault="00381ACE" w:rsidP="00717D3E">
      <w:pPr>
        <w:spacing w:line="360" w:lineRule="auto"/>
        <w:ind w:right="67"/>
        <w:jc w:val="both"/>
        <w:rPr>
          <w:rFonts w:ascii="Bookman Old Style" w:eastAsiaTheme="minorEastAsia" w:hAnsi="Bookman Old Style" w:cs="Arial"/>
          <w:b/>
          <w:sz w:val="24"/>
          <w:szCs w:val="24"/>
        </w:rPr>
      </w:pPr>
      <w:r w:rsidRPr="00E208CA">
        <w:rPr>
          <w:rFonts w:ascii="Bookman Old Style" w:eastAsiaTheme="minorEastAsia" w:hAnsi="Bookman Old Style" w:cs="Arial"/>
          <w:b/>
          <w:sz w:val="24"/>
          <w:szCs w:val="24"/>
        </w:rPr>
        <w:t>Consumer Growth rate:</w:t>
      </w:r>
    </w:p>
    <w:p w:rsidR="00381ACE" w:rsidRDefault="00381ACE" w:rsidP="00C1148F">
      <w:pPr>
        <w:spacing w:line="360" w:lineRule="auto"/>
        <w:ind w:right="67"/>
        <w:jc w:val="both"/>
        <w:rPr>
          <w:rFonts w:ascii="Bookman Old Style" w:eastAsiaTheme="minorEastAsia" w:hAnsi="Bookman Old Style" w:cs="Arial"/>
        </w:rPr>
      </w:pPr>
      <w:r w:rsidRPr="00786AD3">
        <w:rPr>
          <w:rFonts w:ascii="Bookman Old Style" w:eastAsiaTheme="minorEastAsia" w:hAnsi="Bookman Old Style" w:cs="Arial"/>
        </w:rPr>
        <w:t>For the purpose of computation of normative O&amp;M expenses, Commission in its Tariff Order -20</w:t>
      </w:r>
      <w:r>
        <w:rPr>
          <w:rFonts w:ascii="Bookman Old Style" w:eastAsiaTheme="minorEastAsia" w:hAnsi="Bookman Old Style" w:cs="Arial"/>
        </w:rPr>
        <w:t xml:space="preserve">19, </w:t>
      </w:r>
      <w:r w:rsidRPr="00786AD3">
        <w:rPr>
          <w:rFonts w:ascii="Bookman Old Style" w:eastAsiaTheme="minorEastAsia" w:hAnsi="Bookman Old Style" w:cs="Arial"/>
        </w:rPr>
        <w:t xml:space="preserve">dated </w:t>
      </w:r>
      <w:r>
        <w:rPr>
          <w:rFonts w:ascii="Bookman Old Style" w:eastAsiaTheme="minorEastAsia" w:hAnsi="Bookman Old Style" w:cs="Arial"/>
        </w:rPr>
        <w:t>30.05.2019 has considered three year compounded annual growth rate (CAGR) of the number of installations.</w:t>
      </w:r>
    </w:p>
    <w:p w:rsidR="00381ACE" w:rsidRDefault="00381ACE" w:rsidP="00717D3E">
      <w:pPr>
        <w:spacing w:after="0" w:line="360" w:lineRule="auto"/>
        <w:ind w:right="67"/>
        <w:jc w:val="both"/>
        <w:rPr>
          <w:rFonts w:ascii="Bookman Old Style" w:eastAsiaTheme="minorEastAsia" w:hAnsi="Bookman Old Style" w:cs="Arial"/>
        </w:rPr>
      </w:pPr>
      <w:r>
        <w:rPr>
          <w:rFonts w:ascii="Bookman Old Style" w:eastAsiaTheme="minorEastAsia" w:hAnsi="Bookman Old Style" w:cs="Arial"/>
        </w:rPr>
        <w:t>Similarly, BESCOM has considered the CAGR for 3 years and computed the consumer growth rate for FY-20 which</w:t>
      </w:r>
      <w:r w:rsidRPr="00786AD3">
        <w:rPr>
          <w:rFonts w:ascii="Bookman Old Style" w:eastAsiaTheme="minorEastAsia" w:hAnsi="Bookman Old Style" w:cs="Arial"/>
        </w:rPr>
        <w:t xml:space="preserve"> is tabulated as under:</w:t>
      </w:r>
    </w:p>
    <w:p w:rsidR="00381ACE" w:rsidRPr="00294DAD" w:rsidRDefault="004D2832" w:rsidP="004D2832">
      <w:pPr>
        <w:spacing w:after="0" w:line="360" w:lineRule="auto"/>
        <w:ind w:right="67"/>
        <w:jc w:val="center"/>
        <w:rPr>
          <w:rFonts w:ascii="Bookman Old Style" w:eastAsiaTheme="minorEastAsia" w:hAnsi="Bookman Old Style" w:cs="Arial"/>
          <w:sz w:val="20"/>
        </w:rPr>
      </w:pPr>
      <w:r w:rsidRPr="00294DAD">
        <w:rPr>
          <w:rFonts w:ascii="Bookman Old Style" w:hAnsi="Bookman Old Style" w:cs="Calibri"/>
          <w:b/>
          <w:bCs/>
          <w:sz w:val="18"/>
          <w:lang w:eastAsia="en-IN"/>
        </w:rPr>
        <w:t>Table 3.2</w:t>
      </w:r>
      <w:r w:rsidR="00DF4E6A">
        <w:rPr>
          <w:rFonts w:ascii="Bookman Old Style" w:hAnsi="Bookman Old Style" w:cs="Calibri"/>
          <w:b/>
          <w:bCs/>
          <w:sz w:val="18"/>
          <w:lang w:eastAsia="en-IN"/>
        </w:rPr>
        <w:t>6</w:t>
      </w:r>
    </w:p>
    <w:tbl>
      <w:tblPr>
        <w:tblW w:w="6799" w:type="dxa"/>
        <w:jc w:val="center"/>
        <w:tblLook w:val="04A0" w:firstRow="1" w:lastRow="0" w:firstColumn="1" w:lastColumn="0" w:noHBand="0" w:noVBand="1"/>
      </w:tblPr>
      <w:tblGrid>
        <w:gridCol w:w="5455"/>
        <w:gridCol w:w="1375"/>
      </w:tblGrid>
      <w:tr w:rsidR="00381ACE" w:rsidRPr="007566EE" w:rsidTr="00C1148F">
        <w:trPr>
          <w:trHeight w:val="496"/>
          <w:jc w:val="center"/>
        </w:trPr>
        <w:tc>
          <w:tcPr>
            <w:tcW w:w="5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rPr>
                <w:rFonts w:ascii="Bookman Old Style" w:hAnsi="Bookman Old Style"/>
                <w:b/>
                <w:bCs/>
                <w:szCs w:val="24"/>
                <w:lang w:eastAsia="en-IN"/>
              </w:rPr>
            </w:pPr>
            <w:r w:rsidRPr="007566EE">
              <w:rPr>
                <w:rFonts w:ascii="Bookman Old Style" w:hAnsi="Bookman Old Style"/>
                <w:b/>
                <w:bCs/>
                <w:szCs w:val="24"/>
                <w:lang w:eastAsia="en-IN"/>
              </w:rPr>
              <w:t>Particulars</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rPr>
                <w:rFonts w:ascii="Bookman Old Style" w:hAnsi="Bookman Old Style"/>
                <w:b/>
                <w:bCs/>
                <w:szCs w:val="24"/>
                <w:lang w:eastAsia="en-IN"/>
              </w:rPr>
            </w:pPr>
            <w:r w:rsidRPr="007566EE">
              <w:rPr>
                <w:rFonts w:ascii="Bookman Old Style" w:hAnsi="Bookman Old Style"/>
                <w:b/>
                <w:bCs/>
                <w:szCs w:val="24"/>
                <w:lang w:eastAsia="en-IN"/>
              </w:rPr>
              <w:t>Numbers</w:t>
            </w:r>
          </w:p>
        </w:tc>
      </w:tr>
      <w:tr w:rsidR="00381ACE" w:rsidRPr="007566EE" w:rsidTr="00C1148F">
        <w:trPr>
          <w:trHeight w:val="251"/>
          <w:jc w:val="center"/>
        </w:trPr>
        <w:tc>
          <w:tcPr>
            <w:tcW w:w="5455" w:type="dxa"/>
            <w:tcBorders>
              <w:top w:val="nil"/>
              <w:left w:val="single" w:sz="4" w:space="0" w:color="auto"/>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rPr>
                <w:rFonts w:ascii="Bookman Old Style" w:hAnsi="Bookman Old Style"/>
                <w:szCs w:val="24"/>
                <w:lang w:eastAsia="en-IN"/>
              </w:rPr>
            </w:pPr>
            <w:r w:rsidRPr="007566EE">
              <w:rPr>
                <w:rFonts w:ascii="Bookman Old Style" w:hAnsi="Bookman Old Style"/>
                <w:szCs w:val="24"/>
                <w:lang w:eastAsia="en-IN"/>
              </w:rPr>
              <w:t>Consumers as on 31.03.2017 (As per Accounts)</w:t>
            </w:r>
          </w:p>
        </w:tc>
        <w:tc>
          <w:tcPr>
            <w:tcW w:w="1344" w:type="dxa"/>
            <w:tcBorders>
              <w:top w:val="nil"/>
              <w:left w:val="nil"/>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jc w:val="right"/>
              <w:rPr>
                <w:rFonts w:ascii="Bookman Old Style" w:hAnsi="Bookman Old Style"/>
                <w:szCs w:val="24"/>
                <w:lang w:eastAsia="en-IN"/>
              </w:rPr>
            </w:pPr>
            <w:r w:rsidRPr="007566EE">
              <w:rPr>
                <w:rFonts w:ascii="Bookman Old Style" w:hAnsi="Bookman Old Style"/>
                <w:szCs w:val="24"/>
                <w:lang w:eastAsia="en-IN"/>
              </w:rPr>
              <w:t>10696029</w:t>
            </w:r>
          </w:p>
        </w:tc>
      </w:tr>
      <w:tr w:rsidR="00381ACE" w:rsidRPr="007566EE" w:rsidTr="00C1148F">
        <w:trPr>
          <w:trHeight w:val="141"/>
          <w:jc w:val="center"/>
        </w:trPr>
        <w:tc>
          <w:tcPr>
            <w:tcW w:w="5455" w:type="dxa"/>
            <w:tcBorders>
              <w:top w:val="nil"/>
              <w:left w:val="single" w:sz="4" w:space="0" w:color="auto"/>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rPr>
                <w:rFonts w:ascii="Bookman Old Style" w:hAnsi="Bookman Old Style"/>
                <w:szCs w:val="24"/>
                <w:lang w:eastAsia="en-IN"/>
              </w:rPr>
            </w:pPr>
            <w:r w:rsidRPr="007566EE">
              <w:rPr>
                <w:rFonts w:ascii="Bookman Old Style" w:hAnsi="Bookman Old Style"/>
                <w:szCs w:val="24"/>
                <w:lang w:eastAsia="en-IN"/>
              </w:rPr>
              <w:t>Consumer as on 31.03.2020(As per Accounts)</w:t>
            </w:r>
          </w:p>
        </w:tc>
        <w:tc>
          <w:tcPr>
            <w:tcW w:w="1344" w:type="dxa"/>
            <w:tcBorders>
              <w:top w:val="nil"/>
              <w:left w:val="nil"/>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jc w:val="right"/>
              <w:rPr>
                <w:rFonts w:ascii="Bookman Old Style" w:hAnsi="Bookman Old Style"/>
                <w:szCs w:val="24"/>
                <w:lang w:eastAsia="en-IN"/>
              </w:rPr>
            </w:pPr>
            <w:r w:rsidRPr="007566EE">
              <w:rPr>
                <w:rFonts w:ascii="Bookman Old Style" w:hAnsi="Bookman Old Style"/>
                <w:szCs w:val="24"/>
                <w:lang w:eastAsia="en-IN"/>
              </w:rPr>
              <w:t>12365413</w:t>
            </w:r>
          </w:p>
        </w:tc>
      </w:tr>
      <w:tr w:rsidR="00381ACE" w:rsidRPr="007566EE" w:rsidTr="00C1148F">
        <w:trPr>
          <w:trHeight w:val="141"/>
          <w:jc w:val="center"/>
        </w:trPr>
        <w:tc>
          <w:tcPr>
            <w:tcW w:w="5455" w:type="dxa"/>
            <w:tcBorders>
              <w:top w:val="nil"/>
              <w:left w:val="single" w:sz="4" w:space="0" w:color="auto"/>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rPr>
                <w:rFonts w:ascii="Bookman Old Style" w:hAnsi="Bookman Old Style"/>
                <w:b/>
                <w:bCs/>
                <w:szCs w:val="24"/>
                <w:lang w:eastAsia="en-IN"/>
              </w:rPr>
            </w:pPr>
            <w:r w:rsidRPr="007566EE">
              <w:rPr>
                <w:rFonts w:ascii="Bookman Old Style" w:hAnsi="Bookman Old Style"/>
                <w:b/>
                <w:bCs/>
                <w:szCs w:val="24"/>
                <w:lang w:eastAsia="en-IN"/>
              </w:rPr>
              <w:t>Annual Growth rate</w:t>
            </w:r>
          </w:p>
        </w:tc>
        <w:tc>
          <w:tcPr>
            <w:tcW w:w="1344" w:type="dxa"/>
            <w:tcBorders>
              <w:top w:val="nil"/>
              <w:left w:val="nil"/>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jc w:val="right"/>
              <w:rPr>
                <w:rFonts w:ascii="Bookman Old Style" w:hAnsi="Bookman Old Style"/>
                <w:b/>
                <w:bCs/>
                <w:szCs w:val="24"/>
                <w:lang w:eastAsia="en-IN"/>
              </w:rPr>
            </w:pPr>
            <w:r w:rsidRPr="007566EE">
              <w:rPr>
                <w:rFonts w:ascii="Bookman Old Style" w:hAnsi="Bookman Old Style"/>
                <w:b/>
                <w:bCs/>
                <w:szCs w:val="24"/>
                <w:lang w:eastAsia="en-IN"/>
              </w:rPr>
              <w:t>4.95%</w:t>
            </w:r>
          </w:p>
        </w:tc>
      </w:tr>
    </w:tbl>
    <w:p w:rsidR="00353C84" w:rsidRDefault="00353C84" w:rsidP="00717D3E">
      <w:pPr>
        <w:spacing w:after="0" w:line="360" w:lineRule="auto"/>
        <w:ind w:right="67"/>
        <w:jc w:val="both"/>
        <w:rPr>
          <w:rFonts w:ascii="Bookman Old Style" w:eastAsiaTheme="minorEastAsia" w:hAnsi="Bookman Old Style" w:cs="Arial"/>
        </w:rPr>
      </w:pPr>
    </w:p>
    <w:p w:rsidR="00381ACE" w:rsidRPr="00E33ACF" w:rsidRDefault="00381ACE" w:rsidP="00717D3E">
      <w:pPr>
        <w:spacing w:after="0" w:line="360" w:lineRule="auto"/>
        <w:ind w:right="67"/>
        <w:jc w:val="both"/>
        <w:rPr>
          <w:rFonts w:ascii="Bookman Old Style" w:eastAsiaTheme="minorEastAsia" w:hAnsi="Bookman Old Style" w:cs="Arial"/>
        </w:rPr>
      </w:pPr>
      <w:r w:rsidRPr="00E33ACF">
        <w:rPr>
          <w:rFonts w:ascii="Bookman Old Style" w:eastAsiaTheme="minorEastAsia" w:hAnsi="Bookman Old Style" w:cs="Arial"/>
        </w:rPr>
        <w:lastRenderedPageBreak/>
        <w:t xml:space="preserve">Based on the </w:t>
      </w:r>
      <w:r>
        <w:rPr>
          <w:rFonts w:ascii="Bookman Old Style" w:eastAsiaTheme="minorEastAsia" w:hAnsi="Bookman Old Style" w:cs="Arial"/>
        </w:rPr>
        <w:t>above inputs, O&amp;M cost for FY-20</w:t>
      </w:r>
      <w:r w:rsidRPr="00E33ACF">
        <w:rPr>
          <w:rFonts w:ascii="Bookman Old Style" w:eastAsiaTheme="minorEastAsia" w:hAnsi="Bookman Old Style" w:cs="Arial"/>
        </w:rPr>
        <w:t xml:space="preserve"> on normative basis is tabulated as under.</w:t>
      </w:r>
    </w:p>
    <w:p w:rsidR="00381ACE" w:rsidRPr="00E33ACF" w:rsidRDefault="00381ACE" w:rsidP="00717D3E">
      <w:pPr>
        <w:spacing w:after="0" w:line="360" w:lineRule="auto"/>
        <w:ind w:right="67"/>
        <w:jc w:val="both"/>
        <w:rPr>
          <w:rFonts w:ascii="Bookman Old Style" w:eastAsiaTheme="minorEastAsia" w:hAnsi="Bookman Old Style" w:cs="Arial"/>
        </w:rPr>
      </w:pPr>
      <w:r w:rsidRPr="00E33ACF">
        <w:rPr>
          <w:rFonts w:ascii="Bookman Old Style" w:eastAsiaTheme="minorEastAsia" w:hAnsi="Bookman Old Style" w:cs="Arial"/>
        </w:rPr>
        <w:t>Formula for working out the O&amp;M expenses on normative basis as prescribed by the Commission in its Tariff Order-2008 dated 11.1.2008 is as follows:</w:t>
      </w:r>
    </w:p>
    <w:p w:rsidR="00381ACE" w:rsidRPr="001B5199" w:rsidRDefault="00381ACE" w:rsidP="001B5199">
      <w:pPr>
        <w:spacing w:after="0" w:line="360" w:lineRule="auto"/>
        <w:ind w:left="567" w:right="634"/>
        <w:jc w:val="both"/>
        <w:rPr>
          <w:rFonts w:ascii="Bookman Old Style" w:eastAsiaTheme="minorEastAsia" w:hAnsi="Bookman Old Style" w:cs="Arial"/>
          <w:i/>
          <w:sz w:val="20"/>
        </w:rPr>
      </w:pPr>
      <w:r w:rsidRPr="001B5199">
        <w:rPr>
          <w:rFonts w:ascii="Bookman Old Style" w:eastAsiaTheme="minorEastAsia" w:hAnsi="Bookman Old Style" w:cs="Arial"/>
          <w:i/>
          <w:sz w:val="20"/>
        </w:rPr>
        <w:t>O&amp;M Cost t = O&amp;M Cost t-1 * (1 + WII + CGI – X)</w:t>
      </w:r>
    </w:p>
    <w:p w:rsidR="00381ACE" w:rsidRPr="001B5199" w:rsidRDefault="00381ACE" w:rsidP="001B5199">
      <w:pPr>
        <w:spacing w:after="0" w:line="360" w:lineRule="auto"/>
        <w:ind w:left="567" w:right="634"/>
        <w:jc w:val="both"/>
        <w:rPr>
          <w:rFonts w:ascii="Bookman Old Style" w:eastAsiaTheme="minorEastAsia" w:hAnsi="Bookman Old Style" w:cs="Arial"/>
          <w:i/>
          <w:sz w:val="20"/>
        </w:rPr>
      </w:pPr>
      <w:r w:rsidRPr="001B5199">
        <w:rPr>
          <w:rFonts w:ascii="Bookman Old Style" w:eastAsiaTheme="minorEastAsia" w:hAnsi="Bookman Old Style" w:cs="Arial"/>
          <w:i/>
          <w:sz w:val="20"/>
        </w:rPr>
        <w:t>Where,</w:t>
      </w:r>
    </w:p>
    <w:p w:rsidR="00381ACE" w:rsidRPr="001B5199" w:rsidRDefault="00381ACE" w:rsidP="001B5199">
      <w:pPr>
        <w:spacing w:after="0" w:line="360" w:lineRule="auto"/>
        <w:ind w:left="567" w:right="634"/>
        <w:jc w:val="both"/>
        <w:rPr>
          <w:rFonts w:ascii="Bookman Old Style" w:eastAsiaTheme="minorEastAsia" w:hAnsi="Bookman Old Style" w:cs="Arial"/>
          <w:i/>
          <w:sz w:val="20"/>
        </w:rPr>
      </w:pPr>
      <w:r w:rsidRPr="001B5199">
        <w:rPr>
          <w:rFonts w:ascii="Bookman Old Style" w:eastAsiaTheme="minorEastAsia" w:hAnsi="Bookman Old Style" w:cs="Arial"/>
          <w:i/>
          <w:sz w:val="20"/>
        </w:rPr>
        <w:t xml:space="preserve">‘O&amp;M Cost t’   is the normative O&amp;M cost approved by the Commission for the financial year t   </w:t>
      </w:r>
    </w:p>
    <w:p w:rsidR="00381ACE" w:rsidRPr="001B5199" w:rsidRDefault="00381ACE" w:rsidP="001B5199">
      <w:pPr>
        <w:spacing w:after="0" w:line="360" w:lineRule="auto"/>
        <w:ind w:left="567" w:right="634"/>
        <w:jc w:val="both"/>
        <w:rPr>
          <w:rFonts w:ascii="Bookman Old Style" w:eastAsiaTheme="minorEastAsia" w:hAnsi="Bookman Old Style" w:cs="Arial"/>
          <w:i/>
          <w:sz w:val="20"/>
        </w:rPr>
      </w:pPr>
      <w:r w:rsidRPr="001B5199">
        <w:rPr>
          <w:rFonts w:ascii="Bookman Old Style" w:eastAsiaTheme="minorEastAsia" w:hAnsi="Bookman Old Style" w:cs="Arial"/>
          <w:i/>
          <w:sz w:val="20"/>
        </w:rPr>
        <w:t xml:space="preserve">‘WII’ is the weighted inflation index of CPI and WPI based on the contribution of employee cost, R&amp;M and A&amp;G towards the total O&amp;M cost </w:t>
      </w:r>
    </w:p>
    <w:p w:rsidR="00381ACE" w:rsidRPr="001B5199" w:rsidRDefault="00381ACE" w:rsidP="001B5199">
      <w:pPr>
        <w:spacing w:after="0" w:line="360" w:lineRule="auto"/>
        <w:ind w:left="567" w:right="634"/>
        <w:jc w:val="both"/>
        <w:rPr>
          <w:rFonts w:ascii="Bookman Old Style" w:eastAsiaTheme="minorEastAsia" w:hAnsi="Bookman Old Style" w:cs="Arial"/>
          <w:i/>
          <w:sz w:val="20"/>
        </w:rPr>
      </w:pPr>
      <w:r w:rsidRPr="001B5199">
        <w:rPr>
          <w:rFonts w:ascii="Bookman Old Style" w:eastAsiaTheme="minorEastAsia" w:hAnsi="Bookman Old Style" w:cs="Arial"/>
          <w:i/>
          <w:sz w:val="20"/>
        </w:rPr>
        <w:t xml:space="preserve">‘CGI’ is the Consumer growth index, which is linked to increase (CAGR) in no of consumers from FY03 to FY07 which is 5.47%  </w:t>
      </w:r>
    </w:p>
    <w:p w:rsidR="00381ACE" w:rsidRPr="001B5199" w:rsidRDefault="00381ACE" w:rsidP="001B5199">
      <w:pPr>
        <w:spacing w:after="0" w:line="360" w:lineRule="auto"/>
        <w:ind w:left="567" w:right="634"/>
        <w:jc w:val="both"/>
        <w:rPr>
          <w:rFonts w:ascii="Bookman Old Style" w:eastAsiaTheme="minorEastAsia" w:hAnsi="Bookman Old Style" w:cs="Arial"/>
          <w:i/>
          <w:sz w:val="20"/>
        </w:rPr>
      </w:pPr>
      <w:r w:rsidRPr="001B5199">
        <w:rPr>
          <w:rFonts w:ascii="Bookman Old Style" w:eastAsiaTheme="minorEastAsia" w:hAnsi="Bookman Old Style" w:cs="Arial"/>
          <w:i/>
          <w:sz w:val="20"/>
        </w:rPr>
        <w:t xml:space="preserve">‘X’ is the efficiency factor.  For BESCOM the Commission fixes the same as 1% </w:t>
      </w:r>
    </w:p>
    <w:p w:rsidR="00381ACE" w:rsidRPr="001B5199" w:rsidRDefault="0090309A" w:rsidP="00F72C6E">
      <w:pPr>
        <w:spacing w:after="0" w:line="360" w:lineRule="auto"/>
        <w:ind w:right="634"/>
        <w:jc w:val="both"/>
        <w:rPr>
          <w:rFonts w:ascii="Bookman Old Style" w:eastAsiaTheme="minorEastAsia" w:hAnsi="Bookman Old Style" w:cs="Arial"/>
        </w:rPr>
      </w:pPr>
      <w:r w:rsidRPr="001B5199">
        <w:rPr>
          <w:rFonts w:ascii="Bookman Old Style" w:eastAsiaTheme="minorEastAsia" w:hAnsi="Bookman Old Style" w:cs="Arial"/>
        </w:rPr>
        <w:t>Here</w:t>
      </w:r>
      <w:r>
        <w:rPr>
          <w:rFonts w:ascii="Bookman Old Style" w:eastAsiaTheme="minorEastAsia" w:hAnsi="Bookman Old Style" w:cs="Arial"/>
        </w:rPr>
        <w:t xml:space="preserve"> </w:t>
      </w:r>
      <w:bookmarkStart w:id="0" w:name="_GoBack"/>
      <w:bookmarkEnd w:id="0"/>
      <w:r w:rsidRPr="001B5199">
        <w:rPr>
          <w:rFonts w:ascii="Bookman Old Style" w:eastAsiaTheme="minorEastAsia" w:hAnsi="Bookman Old Style" w:cs="Arial"/>
        </w:rPr>
        <w:t>‘t’</w:t>
      </w:r>
      <w:r w:rsidR="00381ACE" w:rsidRPr="001B5199">
        <w:rPr>
          <w:rFonts w:ascii="Bookman Old Style" w:eastAsiaTheme="minorEastAsia" w:hAnsi="Bookman Old Style" w:cs="Arial"/>
        </w:rPr>
        <w:t xml:space="preserve"> year = FY-20, t-1= FY-19, WII= 7.96%, CGI=4.95%, X=1%</w:t>
      </w:r>
    </w:p>
    <w:p w:rsidR="00294DAD" w:rsidRDefault="00294DAD" w:rsidP="004D2832">
      <w:pPr>
        <w:spacing w:after="0" w:line="360" w:lineRule="auto"/>
        <w:ind w:right="67"/>
        <w:jc w:val="center"/>
        <w:rPr>
          <w:rFonts w:ascii="Bookman Old Style" w:hAnsi="Bookman Old Style" w:cs="Calibri"/>
          <w:b/>
          <w:bCs/>
          <w:sz w:val="18"/>
          <w:lang w:eastAsia="en-IN"/>
        </w:rPr>
      </w:pPr>
    </w:p>
    <w:p w:rsidR="00381ACE" w:rsidRPr="00294DAD" w:rsidRDefault="004D2832" w:rsidP="004D2832">
      <w:pPr>
        <w:spacing w:after="0" w:line="360" w:lineRule="auto"/>
        <w:ind w:right="67"/>
        <w:jc w:val="center"/>
        <w:rPr>
          <w:rFonts w:ascii="Bookman Old Style" w:eastAsiaTheme="minorEastAsia" w:hAnsi="Bookman Old Style" w:cs="Arial"/>
          <w:sz w:val="20"/>
        </w:rPr>
      </w:pPr>
      <w:r w:rsidRPr="00294DAD">
        <w:rPr>
          <w:rFonts w:ascii="Bookman Old Style" w:hAnsi="Bookman Old Style" w:cs="Calibri"/>
          <w:b/>
          <w:bCs/>
          <w:sz w:val="18"/>
          <w:lang w:eastAsia="en-IN"/>
        </w:rPr>
        <w:t>Table 3.2</w:t>
      </w:r>
      <w:r w:rsidR="00DF4E6A">
        <w:rPr>
          <w:rFonts w:ascii="Bookman Old Style" w:hAnsi="Bookman Old Style" w:cs="Calibri"/>
          <w:b/>
          <w:bCs/>
          <w:sz w:val="18"/>
          <w:lang w:eastAsia="en-IN"/>
        </w:rPr>
        <w:t>7</w:t>
      </w:r>
    </w:p>
    <w:tbl>
      <w:tblPr>
        <w:tblW w:w="7508" w:type="dxa"/>
        <w:jc w:val="center"/>
        <w:tblLook w:val="04A0" w:firstRow="1" w:lastRow="0" w:firstColumn="1" w:lastColumn="0" w:noHBand="0" w:noVBand="1"/>
      </w:tblPr>
      <w:tblGrid>
        <w:gridCol w:w="6232"/>
        <w:gridCol w:w="1276"/>
      </w:tblGrid>
      <w:tr w:rsidR="00381ACE" w:rsidRPr="007566EE" w:rsidTr="00C1148F">
        <w:trPr>
          <w:trHeight w:val="409"/>
          <w:jc w:val="center"/>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rPr>
                <w:rFonts w:ascii="Bookman Old Style" w:hAnsi="Bookman Old Style"/>
                <w:b/>
                <w:bCs/>
                <w:lang w:eastAsia="en-IN"/>
              </w:rPr>
            </w:pPr>
            <w:r w:rsidRPr="007566EE">
              <w:rPr>
                <w:rFonts w:ascii="Bookman Old Style" w:hAnsi="Bookman Old Style"/>
                <w:b/>
                <w:bCs/>
                <w:lang w:eastAsia="en-IN"/>
              </w:rPr>
              <w:t>Particulars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jc w:val="center"/>
              <w:rPr>
                <w:rFonts w:ascii="Bookman Old Style" w:hAnsi="Bookman Old Style"/>
                <w:b/>
                <w:bCs/>
                <w:lang w:eastAsia="en-IN"/>
              </w:rPr>
            </w:pPr>
            <w:r w:rsidRPr="007566EE">
              <w:rPr>
                <w:rFonts w:ascii="Bookman Old Style" w:hAnsi="Bookman Old Style"/>
                <w:b/>
                <w:bCs/>
                <w:lang w:eastAsia="en-IN"/>
              </w:rPr>
              <w:t>FY</w:t>
            </w:r>
            <w:r w:rsidR="00702CCA">
              <w:rPr>
                <w:rFonts w:ascii="Bookman Old Style" w:hAnsi="Bookman Old Style"/>
                <w:b/>
                <w:bCs/>
                <w:lang w:eastAsia="en-IN"/>
              </w:rPr>
              <w:t>-</w:t>
            </w:r>
            <w:r w:rsidRPr="007566EE">
              <w:rPr>
                <w:rFonts w:ascii="Bookman Old Style" w:hAnsi="Bookman Old Style"/>
                <w:b/>
                <w:bCs/>
                <w:lang w:eastAsia="en-IN"/>
              </w:rPr>
              <w:t>20</w:t>
            </w:r>
          </w:p>
        </w:tc>
      </w:tr>
      <w:tr w:rsidR="00381ACE" w:rsidRPr="007566EE" w:rsidTr="00C1148F">
        <w:trPr>
          <w:trHeight w:val="416"/>
          <w:jc w:val="center"/>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rPr>
                <w:rFonts w:ascii="Bookman Old Style" w:hAnsi="Bookman Old Style"/>
                <w:lang w:eastAsia="en-IN"/>
              </w:rPr>
            </w:pPr>
            <w:r w:rsidRPr="007566EE">
              <w:rPr>
                <w:rFonts w:ascii="Bookman Old Style" w:hAnsi="Bookman Old Style"/>
                <w:lang w:eastAsia="en-IN"/>
              </w:rPr>
              <w:t>Weighted Inflation Index (WII)</w:t>
            </w:r>
          </w:p>
        </w:tc>
        <w:tc>
          <w:tcPr>
            <w:tcW w:w="1276" w:type="dxa"/>
            <w:tcBorders>
              <w:top w:val="nil"/>
              <w:left w:val="nil"/>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jc w:val="right"/>
              <w:rPr>
                <w:rFonts w:ascii="Bookman Old Style" w:hAnsi="Bookman Old Style"/>
                <w:lang w:eastAsia="en-IN"/>
              </w:rPr>
            </w:pPr>
            <w:r w:rsidRPr="007566EE">
              <w:rPr>
                <w:rFonts w:ascii="Bookman Old Style" w:hAnsi="Bookman Old Style"/>
                <w:lang w:eastAsia="en-IN"/>
              </w:rPr>
              <w:t>7.96</w:t>
            </w:r>
            <w:r>
              <w:rPr>
                <w:rFonts w:ascii="Bookman Old Style" w:hAnsi="Bookman Old Style"/>
                <w:lang w:eastAsia="en-IN"/>
              </w:rPr>
              <w:t>%</w:t>
            </w:r>
          </w:p>
        </w:tc>
      </w:tr>
      <w:tr w:rsidR="00381ACE" w:rsidRPr="007566EE" w:rsidTr="00C1148F">
        <w:trPr>
          <w:trHeight w:val="421"/>
          <w:jc w:val="center"/>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rPr>
                <w:rFonts w:ascii="Bookman Old Style" w:hAnsi="Bookman Old Style"/>
                <w:lang w:eastAsia="en-IN"/>
              </w:rPr>
            </w:pPr>
            <w:r w:rsidRPr="007566EE">
              <w:rPr>
                <w:rFonts w:ascii="Bookman Old Style" w:hAnsi="Bookman Old Style"/>
                <w:lang w:eastAsia="en-IN"/>
              </w:rPr>
              <w:t>Consumer Growth Index (CGI) based on 3 Year CAGR</w:t>
            </w:r>
          </w:p>
        </w:tc>
        <w:tc>
          <w:tcPr>
            <w:tcW w:w="1276" w:type="dxa"/>
            <w:tcBorders>
              <w:top w:val="nil"/>
              <w:left w:val="nil"/>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jc w:val="right"/>
              <w:rPr>
                <w:rFonts w:ascii="Bookman Old Style" w:hAnsi="Bookman Old Style"/>
                <w:lang w:eastAsia="en-IN"/>
              </w:rPr>
            </w:pPr>
            <w:r w:rsidRPr="007566EE">
              <w:rPr>
                <w:rFonts w:ascii="Bookman Old Style" w:hAnsi="Bookman Old Style"/>
                <w:lang w:eastAsia="en-IN"/>
              </w:rPr>
              <w:t>4.95</w:t>
            </w:r>
            <w:r>
              <w:rPr>
                <w:rFonts w:ascii="Bookman Old Style" w:hAnsi="Bookman Old Style"/>
                <w:lang w:eastAsia="en-IN"/>
              </w:rPr>
              <w:t>%</w:t>
            </w:r>
          </w:p>
        </w:tc>
      </w:tr>
      <w:tr w:rsidR="00381ACE" w:rsidRPr="007566EE" w:rsidTr="00C1148F">
        <w:trPr>
          <w:trHeight w:val="369"/>
          <w:jc w:val="center"/>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rPr>
                <w:rFonts w:ascii="Bookman Old Style" w:hAnsi="Bookman Old Style"/>
                <w:b/>
                <w:bCs/>
                <w:lang w:eastAsia="en-IN"/>
              </w:rPr>
            </w:pPr>
            <w:r w:rsidRPr="007566EE">
              <w:rPr>
                <w:rFonts w:ascii="Bookman Old Style" w:hAnsi="Bookman Old Style"/>
                <w:b/>
                <w:bCs/>
                <w:lang w:eastAsia="en-IN"/>
              </w:rPr>
              <w:t>True up  O &amp; M expenses for FY19 in Rs. Crs</w:t>
            </w:r>
          </w:p>
        </w:tc>
        <w:tc>
          <w:tcPr>
            <w:tcW w:w="1276" w:type="dxa"/>
            <w:tcBorders>
              <w:top w:val="nil"/>
              <w:left w:val="nil"/>
              <w:bottom w:val="single" w:sz="4" w:space="0" w:color="auto"/>
              <w:right w:val="single" w:sz="4" w:space="0" w:color="auto"/>
            </w:tcBorders>
            <w:shd w:val="clear" w:color="auto" w:fill="auto"/>
            <w:noWrap/>
            <w:vAlign w:val="bottom"/>
            <w:hideMark/>
          </w:tcPr>
          <w:p w:rsidR="00381ACE" w:rsidRPr="007566EE" w:rsidRDefault="00DF4E6A" w:rsidP="004D2832">
            <w:pPr>
              <w:spacing w:after="0" w:line="360" w:lineRule="auto"/>
              <w:ind w:right="67"/>
              <w:jc w:val="right"/>
              <w:rPr>
                <w:rFonts w:ascii="Bookman Old Style" w:hAnsi="Bookman Old Style"/>
                <w:b/>
                <w:bCs/>
                <w:lang w:eastAsia="en-IN"/>
              </w:rPr>
            </w:pPr>
            <w:r>
              <w:rPr>
                <w:rFonts w:ascii="Bookman Old Style" w:hAnsi="Bookman Old Style"/>
                <w:b/>
                <w:bCs/>
                <w:lang w:eastAsia="en-IN"/>
              </w:rPr>
              <w:t>1515.81</w:t>
            </w:r>
          </w:p>
        </w:tc>
      </w:tr>
      <w:tr w:rsidR="00381ACE" w:rsidRPr="007566EE" w:rsidTr="00C1148F">
        <w:trPr>
          <w:trHeight w:val="369"/>
          <w:jc w:val="center"/>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381ACE" w:rsidRPr="007566EE" w:rsidRDefault="00381ACE" w:rsidP="004D2832">
            <w:pPr>
              <w:spacing w:after="0" w:line="360" w:lineRule="auto"/>
              <w:ind w:right="67"/>
              <w:rPr>
                <w:rFonts w:ascii="Bookman Old Style" w:hAnsi="Bookman Old Style"/>
                <w:b/>
                <w:bCs/>
                <w:lang w:eastAsia="en-IN"/>
              </w:rPr>
            </w:pPr>
            <w:r w:rsidRPr="007566EE">
              <w:rPr>
                <w:rFonts w:ascii="Bookman Old Style" w:hAnsi="Bookman Old Style"/>
                <w:b/>
                <w:bCs/>
                <w:lang w:eastAsia="en-IN"/>
              </w:rPr>
              <w:t>O&amp;M expenses in Rs. Crs = t-1 cost * (1+WII+CGI-X)</w:t>
            </w:r>
          </w:p>
        </w:tc>
        <w:tc>
          <w:tcPr>
            <w:tcW w:w="1276" w:type="dxa"/>
            <w:tcBorders>
              <w:top w:val="nil"/>
              <w:left w:val="nil"/>
              <w:bottom w:val="single" w:sz="4" w:space="0" w:color="auto"/>
              <w:right w:val="single" w:sz="4" w:space="0" w:color="auto"/>
            </w:tcBorders>
            <w:shd w:val="clear" w:color="auto" w:fill="auto"/>
            <w:noWrap/>
            <w:vAlign w:val="bottom"/>
            <w:hideMark/>
          </w:tcPr>
          <w:p w:rsidR="00381ACE" w:rsidRPr="007566EE" w:rsidRDefault="00DF4E6A" w:rsidP="004D2832">
            <w:pPr>
              <w:spacing w:after="0" w:line="360" w:lineRule="auto"/>
              <w:ind w:right="67"/>
              <w:jc w:val="right"/>
              <w:rPr>
                <w:rFonts w:ascii="Bookman Old Style" w:hAnsi="Bookman Old Style"/>
                <w:b/>
                <w:bCs/>
                <w:lang w:eastAsia="en-IN"/>
              </w:rPr>
            </w:pPr>
            <w:r>
              <w:rPr>
                <w:rFonts w:ascii="Bookman Old Style" w:hAnsi="Bookman Old Style"/>
                <w:b/>
                <w:bCs/>
                <w:lang w:eastAsia="en-IN"/>
              </w:rPr>
              <w:t>1696.39</w:t>
            </w:r>
          </w:p>
        </w:tc>
      </w:tr>
    </w:tbl>
    <w:p w:rsidR="00381ACE" w:rsidRDefault="00381ACE" w:rsidP="00717D3E">
      <w:pPr>
        <w:spacing w:after="0" w:line="360" w:lineRule="auto"/>
        <w:ind w:right="67"/>
        <w:jc w:val="both"/>
        <w:rPr>
          <w:rFonts w:ascii="Bookman Old Style" w:eastAsiaTheme="minorEastAsia" w:hAnsi="Bookman Old Style" w:cs="Arial"/>
        </w:rPr>
      </w:pPr>
    </w:p>
    <w:p w:rsidR="00381ACE" w:rsidRPr="00294DAD" w:rsidRDefault="00DF4E6A" w:rsidP="00717D3E">
      <w:pPr>
        <w:spacing w:after="0" w:line="360" w:lineRule="auto"/>
        <w:ind w:right="67"/>
        <w:jc w:val="both"/>
        <w:rPr>
          <w:rFonts w:ascii="Bookman Old Style" w:eastAsiaTheme="minorEastAsia" w:hAnsi="Bookman Old Style" w:cs="Arial"/>
          <w:color w:val="FF0000"/>
        </w:rPr>
      </w:pPr>
      <w:r>
        <w:rPr>
          <w:rFonts w:ascii="Bookman Old Style" w:eastAsiaTheme="minorEastAsia" w:hAnsi="Bookman Old Style" w:cs="Arial"/>
        </w:rPr>
        <w:t xml:space="preserve">Commission in its Tariff Order-2020, dtd: 04.11.2020 has allowed Rs. 1809.8 Crs. towards O&amp;M </w:t>
      </w:r>
      <w:r w:rsidR="00365981">
        <w:rPr>
          <w:rFonts w:ascii="Bookman Old Style" w:eastAsiaTheme="minorEastAsia" w:hAnsi="Bookman Old Style" w:cs="Arial"/>
        </w:rPr>
        <w:t xml:space="preserve">expenses for FY-19, inclusive of uncontrollable O&amp;M expenses towards contributions to P&amp;G trust of RS.293.99 Crs. Hence, an amount of Rs. 1515.81 is considered as true up O&amp;M expenses for FY-19 as O&amp;M cost t-1. </w:t>
      </w:r>
      <w:r w:rsidR="00381ACE" w:rsidRPr="00E139D2">
        <w:rPr>
          <w:rFonts w:ascii="Bookman Old Style" w:eastAsiaTheme="minorEastAsia" w:hAnsi="Bookman Old Style" w:cs="Arial"/>
        </w:rPr>
        <w:t xml:space="preserve"> </w:t>
      </w:r>
    </w:p>
    <w:p w:rsidR="00381ACE" w:rsidRPr="00435698" w:rsidRDefault="00381ACE" w:rsidP="000E1359">
      <w:pPr>
        <w:spacing w:after="0" w:line="360" w:lineRule="auto"/>
        <w:ind w:right="68"/>
        <w:jc w:val="both"/>
        <w:rPr>
          <w:rFonts w:ascii="Bookman Old Style" w:eastAsiaTheme="minorEastAsia" w:hAnsi="Bookman Old Style" w:cs="Arial"/>
          <w:color w:val="000000" w:themeColor="text1"/>
        </w:rPr>
      </w:pPr>
      <w:r w:rsidRPr="009A7C5C">
        <w:rPr>
          <w:rFonts w:ascii="Bookman Old Style" w:eastAsiaTheme="minorEastAsia" w:hAnsi="Bookman Old Style" w:cs="Arial"/>
          <w:color w:val="000000" w:themeColor="text1"/>
        </w:rPr>
        <w:t>Since, the base year data</w:t>
      </w:r>
      <w:r>
        <w:rPr>
          <w:rFonts w:ascii="Bookman Old Style" w:eastAsiaTheme="minorEastAsia" w:hAnsi="Bookman Old Style" w:cs="Arial"/>
          <w:color w:val="000000" w:themeColor="text1"/>
        </w:rPr>
        <w:t xml:space="preserve"> </w:t>
      </w:r>
      <w:r w:rsidR="00294DAD">
        <w:rPr>
          <w:rFonts w:ascii="Bookman Old Style" w:eastAsiaTheme="minorEastAsia" w:hAnsi="Bookman Old Style" w:cs="Arial"/>
          <w:color w:val="000000" w:themeColor="text1"/>
        </w:rPr>
        <w:t>i.e.</w:t>
      </w:r>
      <w:r>
        <w:rPr>
          <w:rFonts w:ascii="Bookman Old Style" w:eastAsiaTheme="minorEastAsia" w:hAnsi="Bookman Old Style" w:cs="Arial"/>
          <w:color w:val="000000" w:themeColor="text1"/>
        </w:rPr>
        <w:t xml:space="preserve"> FY-19 </w:t>
      </w:r>
      <w:r w:rsidRPr="009A7C5C">
        <w:rPr>
          <w:rFonts w:ascii="Bookman Old Style" w:eastAsiaTheme="minorEastAsia" w:hAnsi="Bookman Old Style" w:cs="Arial"/>
          <w:color w:val="000000" w:themeColor="text1"/>
        </w:rPr>
        <w:t xml:space="preserve">includes the O&amp;M expenses exclusive of contribution to the P &amp; G Trust, </w:t>
      </w:r>
      <w:r>
        <w:rPr>
          <w:rFonts w:ascii="Bookman Old Style" w:eastAsiaTheme="minorEastAsia" w:hAnsi="Bookman Old Style" w:cs="Arial"/>
          <w:color w:val="000000" w:themeColor="text1"/>
        </w:rPr>
        <w:t>BESCOM ha</w:t>
      </w:r>
      <w:r w:rsidRPr="009A7C5C">
        <w:rPr>
          <w:rFonts w:ascii="Bookman Old Style" w:eastAsiaTheme="minorEastAsia" w:hAnsi="Bookman Old Style" w:cs="Arial"/>
          <w:color w:val="000000" w:themeColor="text1"/>
        </w:rPr>
        <w:t>s considered the contribution to the P &amp; G Trust as additional employees cos</w:t>
      </w:r>
      <w:r w:rsidR="00947D46">
        <w:rPr>
          <w:rFonts w:ascii="Bookman Old Style" w:eastAsiaTheme="minorEastAsia" w:hAnsi="Bookman Old Style" w:cs="Arial"/>
          <w:color w:val="000000" w:themeColor="text1"/>
        </w:rPr>
        <w:t>t.</w:t>
      </w:r>
    </w:p>
    <w:p w:rsidR="00381ACE" w:rsidRPr="00294DAD" w:rsidRDefault="004D2832" w:rsidP="000E1359">
      <w:pPr>
        <w:spacing w:after="0" w:line="240" w:lineRule="auto"/>
        <w:ind w:right="68"/>
        <w:jc w:val="center"/>
        <w:rPr>
          <w:rFonts w:ascii="Bookman Old Style" w:eastAsiaTheme="minorEastAsia" w:hAnsi="Bookman Old Style" w:cs="Arial"/>
          <w:b/>
          <w:sz w:val="18"/>
          <w:szCs w:val="20"/>
        </w:rPr>
      </w:pPr>
      <w:r w:rsidRPr="00294DAD">
        <w:rPr>
          <w:rFonts w:ascii="Bookman Old Style" w:hAnsi="Bookman Old Style" w:cs="Calibri"/>
          <w:b/>
          <w:bCs/>
          <w:sz w:val="18"/>
          <w:lang w:eastAsia="en-IN"/>
        </w:rPr>
        <w:t xml:space="preserve">                                                 Table 3.</w:t>
      </w:r>
      <w:r w:rsidRPr="00294DAD">
        <w:rPr>
          <w:rFonts w:ascii="Bookman Old Style" w:hAnsi="Bookman Old Style" w:cs="Calibri"/>
          <w:b/>
          <w:bCs/>
          <w:sz w:val="18"/>
          <w:szCs w:val="20"/>
          <w:lang w:eastAsia="en-IN"/>
        </w:rPr>
        <w:t>2</w:t>
      </w:r>
      <w:r w:rsidR="00DF4E6A">
        <w:rPr>
          <w:rFonts w:ascii="Bookman Old Style" w:hAnsi="Bookman Old Style" w:cs="Calibri"/>
          <w:b/>
          <w:bCs/>
          <w:sz w:val="18"/>
          <w:szCs w:val="20"/>
          <w:lang w:eastAsia="en-IN"/>
        </w:rPr>
        <w:t>8</w:t>
      </w:r>
      <w:r w:rsidRPr="00294DAD">
        <w:rPr>
          <w:rFonts w:ascii="Bookman Old Style" w:eastAsiaTheme="minorEastAsia" w:hAnsi="Bookman Old Style" w:cs="Arial"/>
          <w:b/>
          <w:sz w:val="18"/>
          <w:szCs w:val="20"/>
        </w:rPr>
        <w:t xml:space="preserve">           </w:t>
      </w:r>
      <w:r w:rsidR="00294DAD">
        <w:rPr>
          <w:rFonts w:ascii="Bookman Old Style" w:eastAsiaTheme="minorEastAsia" w:hAnsi="Bookman Old Style" w:cs="Arial"/>
          <w:b/>
          <w:sz w:val="18"/>
          <w:szCs w:val="20"/>
        </w:rPr>
        <w:t xml:space="preserve">  </w:t>
      </w:r>
      <w:r w:rsidRPr="00294DAD">
        <w:rPr>
          <w:rFonts w:ascii="Bookman Old Style" w:eastAsiaTheme="minorEastAsia" w:hAnsi="Bookman Old Style" w:cs="Arial"/>
          <w:b/>
          <w:sz w:val="18"/>
          <w:szCs w:val="20"/>
        </w:rPr>
        <w:t xml:space="preserve">         </w:t>
      </w:r>
      <w:r w:rsidR="00381ACE" w:rsidRPr="00294DAD">
        <w:rPr>
          <w:rFonts w:ascii="Bookman Old Style" w:eastAsiaTheme="minorEastAsia" w:hAnsi="Bookman Old Style" w:cs="Arial"/>
          <w:b/>
          <w:sz w:val="18"/>
          <w:szCs w:val="20"/>
        </w:rPr>
        <w:t xml:space="preserve">      </w:t>
      </w:r>
      <w:r w:rsidRPr="00294DAD">
        <w:rPr>
          <w:rFonts w:ascii="Bookman Old Style" w:eastAsiaTheme="minorEastAsia" w:hAnsi="Bookman Old Style" w:cs="Arial"/>
          <w:b/>
          <w:sz w:val="18"/>
          <w:szCs w:val="20"/>
        </w:rPr>
        <w:t>A</w:t>
      </w:r>
      <w:r w:rsidR="00381ACE" w:rsidRPr="00294DAD">
        <w:rPr>
          <w:rFonts w:ascii="Bookman Old Style" w:eastAsiaTheme="minorEastAsia" w:hAnsi="Bookman Old Style" w:cs="Arial"/>
          <w:b/>
          <w:sz w:val="18"/>
          <w:szCs w:val="20"/>
        </w:rPr>
        <w:t>mount in Crs.</w:t>
      </w:r>
    </w:p>
    <w:tbl>
      <w:tblPr>
        <w:tblW w:w="7106" w:type="dxa"/>
        <w:jc w:val="center"/>
        <w:tblLook w:val="04A0" w:firstRow="1" w:lastRow="0" w:firstColumn="1" w:lastColumn="0" w:noHBand="0" w:noVBand="1"/>
      </w:tblPr>
      <w:tblGrid>
        <w:gridCol w:w="5918"/>
        <w:gridCol w:w="1230"/>
      </w:tblGrid>
      <w:tr w:rsidR="00381ACE" w:rsidRPr="000E2B3C" w:rsidTr="00E139D2">
        <w:trPr>
          <w:trHeight w:val="187"/>
          <w:jc w:val="center"/>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0E2B3C" w:rsidRDefault="00381ACE" w:rsidP="00C1148F">
            <w:pPr>
              <w:spacing w:after="0" w:line="360" w:lineRule="auto"/>
              <w:ind w:right="67"/>
              <w:jc w:val="center"/>
              <w:rPr>
                <w:rFonts w:ascii="Bookman Old Style" w:hAnsi="Bookman Old Style"/>
                <w:b/>
                <w:bCs/>
                <w:lang w:eastAsia="en-IN"/>
              </w:rPr>
            </w:pPr>
            <w:r w:rsidRPr="000E2B3C">
              <w:rPr>
                <w:rFonts w:ascii="Bookman Old Style" w:hAnsi="Bookman Old Style"/>
                <w:b/>
                <w:bCs/>
                <w:lang w:eastAsia="en-IN"/>
              </w:rPr>
              <w:t>Particulars</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381ACE" w:rsidRPr="000E2B3C" w:rsidRDefault="00381ACE" w:rsidP="00C1148F">
            <w:pPr>
              <w:spacing w:after="0" w:line="360" w:lineRule="auto"/>
              <w:ind w:right="67"/>
              <w:jc w:val="center"/>
              <w:rPr>
                <w:rFonts w:ascii="Bookman Old Style" w:hAnsi="Bookman Old Style"/>
                <w:b/>
                <w:bCs/>
                <w:lang w:eastAsia="en-IN"/>
              </w:rPr>
            </w:pPr>
            <w:r w:rsidRPr="000E2B3C">
              <w:rPr>
                <w:rFonts w:ascii="Bookman Old Style" w:hAnsi="Bookman Old Style"/>
                <w:b/>
                <w:bCs/>
                <w:lang w:eastAsia="en-IN"/>
              </w:rPr>
              <w:t>FY</w:t>
            </w:r>
            <w:r>
              <w:rPr>
                <w:rFonts w:ascii="Bookman Old Style" w:hAnsi="Bookman Old Style"/>
                <w:b/>
                <w:bCs/>
                <w:lang w:eastAsia="en-IN"/>
              </w:rPr>
              <w:t>-</w:t>
            </w:r>
            <w:r w:rsidRPr="000E2B3C">
              <w:rPr>
                <w:rFonts w:ascii="Bookman Old Style" w:hAnsi="Bookman Old Style"/>
                <w:b/>
                <w:bCs/>
                <w:lang w:eastAsia="en-IN"/>
              </w:rPr>
              <w:t>20</w:t>
            </w:r>
          </w:p>
        </w:tc>
      </w:tr>
      <w:tr w:rsidR="00381ACE" w:rsidRPr="000E2B3C" w:rsidTr="00E139D2">
        <w:trPr>
          <w:trHeight w:val="187"/>
          <w:jc w:val="center"/>
        </w:trPr>
        <w:tc>
          <w:tcPr>
            <w:tcW w:w="5918" w:type="dxa"/>
            <w:tcBorders>
              <w:top w:val="nil"/>
              <w:left w:val="single" w:sz="4" w:space="0" w:color="auto"/>
              <w:bottom w:val="single" w:sz="4" w:space="0" w:color="auto"/>
              <w:right w:val="single" w:sz="4" w:space="0" w:color="auto"/>
            </w:tcBorders>
            <w:shd w:val="clear" w:color="auto" w:fill="auto"/>
            <w:noWrap/>
            <w:vAlign w:val="center"/>
            <w:hideMark/>
          </w:tcPr>
          <w:p w:rsidR="00381ACE" w:rsidRPr="000E2B3C" w:rsidRDefault="00381ACE" w:rsidP="00C1148F">
            <w:pPr>
              <w:spacing w:after="0" w:line="360" w:lineRule="auto"/>
              <w:ind w:right="67"/>
              <w:rPr>
                <w:rFonts w:ascii="Bookman Old Style" w:hAnsi="Bookman Old Style"/>
                <w:lang w:eastAsia="en-IN"/>
              </w:rPr>
            </w:pPr>
            <w:r w:rsidRPr="000E2B3C">
              <w:rPr>
                <w:rFonts w:ascii="Bookman Old Style" w:hAnsi="Bookman Old Style"/>
                <w:lang w:eastAsia="en-IN"/>
              </w:rPr>
              <w:t>Normative O&amp;M expenses</w:t>
            </w:r>
          </w:p>
        </w:tc>
        <w:tc>
          <w:tcPr>
            <w:tcW w:w="1188" w:type="dxa"/>
            <w:tcBorders>
              <w:top w:val="nil"/>
              <w:left w:val="nil"/>
              <w:bottom w:val="single" w:sz="4" w:space="0" w:color="auto"/>
              <w:right w:val="single" w:sz="4" w:space="0" w:color="auto"/>
            </w:tcBorders>
            <w:shd w:val="clear" w:color="auto" w:fill="auto"/>
            <w:noWrap/>
            <w:vAlign w:val="center"/>
            <w:hideMark/>
          </w:tcPr>
          <w:p w:rsidR="00381ACE" w:rsidRPr="000E2B3C" w:rsidRDefault="00365981" w:rsidP="00C1148F">
            <w:pPr>
              <w:spacing w:after="0" w:line="360" w:lineRule="auto"/>
              <w:ind w:right="67"/>
              <w:jc w:val="right"/>
              <w:rPr>
                <w:rFonts w:ascii="Bookman Old Style" w:hAnsi="Bookman Old Style"/>
                <w:lang w:eastAsia="en-IN"/>
              </w:rPr>
            </w:pPr>
            <w:r>
              <w:rPr>
                <w:rFonts w:ascii="Bookman Old Style" w:hAnsi="Bookman Old Style"/>
                <w:lang w:eastAsia="en-IN"/>
              </w:rPr>
              <w:t>1696.39</w:t>
            </w:r>
          </w:p>
        </w:tc>
      </w:tr>
      <w:tr w:rsidR="00381ACE" w:rsidRPr="000E2B3C" w:rsidTr="0033491E">
        <w:trPr>
          <w:trHeight w:val="668"/>
          <w:jc w:val="center"/>
        </w:trPr>
        <w:tc>
          <w:tcPr>
            <w:tcW w:w="5918" w:type="dxa"/>
            <w:tcBorders>
              <w:top w:val="nil"/>
              <w:left w:val="single" w:sz="4" w:space="0" w:color="auto"/>
              <w:bottom w:val="single" w:sz="4" w:space="0" w:color="auto"/>
              <w:right w:val="single" w:sz="4" w:space="0" w:color="auto"/>
            </w:tcBorders>
            <w:shd w:val="clear" w:color="auto" w:fill="auto"/>
            <w:vAlign w:val="center"/>
            <w:hideMark/>
          </w:tcPr>
          <w:p w:rsidR="00381ACE" w:rsidRPr="000E2B3C" w:rsidRDefault="00381ACE" w:rsidP="00C1148F">
            <w:pPr>
              <w:spacing w:after="0" w:line="360" w:lineRule="auto"/>
              <w:ind w:right="67"/>
              <w:rPr>
                <w:rFonts w:ascii="Bookman Old Style" w:hAnsi="Bookman Old Style"/>
                <w:lang w:eastAsia="en-IN"/>
              </w:rPr>
            </w:pPr>
            <w:r w:rsidRPr="000E2B3C">
              <w:rPr>
                <w:rFonts w:ascii="Bookman Old Style" w:hAnsi="Bookman Old Style"/>
                <w:lang w:eastAsia="en-IN"/>
              </w:rPr>
              <w:t>Additional employees Cost (uncontrollable expenses-P&amp;G Trust)</w:t>
            </w:r>
          </w:p>
        </w:tc>
        <w:tc>
          <w:tcPr>
            <w:tcW w:w="1188" w:type="dxa"/>
            <w:tcBorders>
              <w:top w:val="nil"/>
              <w:left w:val="nil"/>
              <w:bottom w:val="single" w:sz="4" w:space="0" w:color="auto"/>
              <w:right w:val="single" w:sz="4" w:space="0" w:color="auto"/>
            </w:tcBorders>
            <w:shd w:val="clear" w:color="auto" w:fill="auto"/>
            <w:noWrap/>
            <w:vAlign w:val="center"/>
            <w:hideMark/>
          </w:tcPr>
          <w:p w:rsidR="00381ACE" w:rsidRPr="000E2B3C" w:rsidRDefault="00381ACE" w:rsidP="00C1148F">
            <w:pPr>
              <w:spacing w:after="0" w:line="360" w:lineRule="auto"/>
              <w:ind w:right="67"/>
              <w:jc w:val="right"/>
              <w:rPr>
                <w:rFonts w:ascii="Bookman Old Style" w:hAnsi="Bookman Old Style"/>
                <w:lang w:eastAsia="en-IN"/>
              </w:rPr>
            </w:pPr>
            <w:r w:rsidRPr="000E2B3C">
              <w:rPr>
                <w:rFonts w:ascii="Bookman Old Style" w:hAnsi="Bookman Old Style"/>
                <w:lang w:eastAsia="en-IN"/>
              </w:rPr>
              <w:t>399.58</w:t>
            </w:r>
          </w:p>
        </w:tc>
      </w:tr>
      <w:tr w:rsidR="00381ACE" w:rsidRPr="000E2B3C" w:rsidTr="00E139D2">
        <w:trPr>
          <w:trHeight w:val="279"/>
          <w:jc w:val="center"/>
        </w:trPr>
        <w:tc>
          <w:tcPr>
            <w:tcW w:w="5918" w:type="dxa"/>
            <w:tcBorders>
              <w:top w:val="nil"/>
              <w:left w:val="single" w:sz="4" w:space="0" w:color="auto"/>
              <w:bottom w:val="single" w:sz="4" w:space="0" w:color="auto"/>
              <w:right w:val="single" w:sz="4" w:space="0" w:color="auto"/>
            </w:tcBorders>
            <w:shd w:val="clear" w:color="auto" w:fill="auto"/>
            <w:noWrap/>
            <w:vAlign w:val="center"/>
            <w:hideMark/>
          </w:tcPr>
          <w:p w:rsidR="00381ACE" w:rsidRPr="000E2B3C" w:rsidRDefault="00381ACE" w:rsidP="00C1148F">
            <w:pPr>
              <w:spacing w:after="0" w:line="360" w:lineRule="auto"/>
              <w:ind w:right="67"/>
              <w:rPr>
                <w:rFonts w:ascii="Bookman Old Style" w:hAnsi="Bookman Old Style"/>
                <w:b/>
                <w:bCs/>
                <w:lang w:eastAsia="en-IN"/>
              </w:rPr>
            </w:pPr>
            <w:r w:rsidRPr="00D406F2">
              <w:rPr>
                <w:rFonts w:ascii="Bookman Old Style" w:hAnsi="Bookman Old Style"/>
                <w:b/>
                <w:bCs/>
                <w:lang w:eastAsia="en-IN"/>
              </w:rPr>
              <w:t>Allowable O&amp;M expenses for FY</w:t>
            </w:r>
            <w:r w:rsidR="00702CCA">
              <w:rPr>
                <w:rFonts w:ascii="Bookman Old Style" w:hAnsi="Bookman Old Style"/>
                <w:b/>
                <w:bCs/>
                <w:lang w:eastAsia="en-IN"/>
              </w:rPr>
              <w:t>-</w:t>
            </w:r>
            <w:r w:rsidRPr="00D406F2">
              <w:rPr>
                <w:rFonts w:ascii="Bookman Old Style" w:hAnsi="Bookman Old Style"/>
                <w:b/>
                <w:bCs/>
                <w:lang w:eastAsia="en-IN"/>
              </w:rPr>
              <w:t>20</w:t>
            </w:r>
          </w:p>
        </w:tc>
        <w:tc>
          <w:tcPr>
            <w:tcW w:w="1188" w:type="dxa"/>
            <w:tcBorders>
              <w:top w:val="nil"/>
              <w:left w:val="nil"/>
              <w:bottom w:val="single" w:sz="4" w:space="0" w:color="auto"/>
              <w:right w:val="single" w:sz="4" w:space="0" w:color="auto"/>
            </w:tcBorders>
            <w:shd w:val="clear" w:color="auto" w:fill="auto"/>
            <w:noWrap/>
            <w:vAlign w:val="center"/>
            <w:hideMark/>
          </w:tcPr>
          <w:p w:rsidR="00381ACE" w:rsidRPr="000E2B3C" w:rsidRDefault="00365981" w:rsidP="00C1148F">
            <w:pPr>
              <w:spacing w:after="0" w:line="360" w:lineRule="auto"/>
              <w:ind w:right="67"/>
              <w:jc w:val="right"/>
              <w:rPr>
                <w:rFonts w:ascii="Bookman Old Style" w:hAnsi="Bookman Old Style"/>
                <w:b/>
                <w:bCs/>
                <w:lang w:eastAsia="en-IN"/>
              </w:rPr>
            </w:pPr>
            <w:r>
              <w:rPr>
                <w:rFonts w:ascii="Bookman Old Style" w:hAnsi="Bookman Old Style"/>
                <w:b/>
                <w:bCs/>
                <w:lang w:eastAsia="en-IN"/>
              </w:rPr>
              <w:t>2095.97</w:t>
            </w:r>
          </w:p>
        </w:tc>
      </w:tr>
    </w:tbl>
    <w:p w:rsidR="00381ACE" w:rsidRDefault="00381ACE" w:rsidP="00717D3E">
      <w:pPr>
        <w:spacing w:line="240" w:lineRule="auto"/>
        <w:ind w:left="5040" w:right="67" w:firstLine="720"/>
        <w:rPr>
          <w:rFonts w:ascii="Bookman Old Style" w:eastAsiaTheme="minorEastAsia" w:hAnsi="Bookman Old Style" w:cs="Arial"/>
          <w:b/>
          <w:sz w:val="20"/>
          <w:szCs w:val="26"/>
        </w:rPr>
      </w:pPr>
    </w:p>
    <w:p w:rsidR="00DF4E6A" w:rsidRDefault="00381ACE" w:rsidP="00365981">
      <w:pPr>
        <w:spacing w:line="240" w:lineRule="auto"/>
        <w:ind w:right="67"/>
        <w:jc w:val="both"/>
        <w:rPr>
          <w:rFonts w:ascii="Bookman Old Style" w:eastAsiaTheme="minorEastAsia" w:hAnsi="Bookman Old Style" w:cs="Arial"/>
        </w:rPr>
      </w:pPr>
      <w:r w:rsidRPr="009670C6">
        <w:rPr>
          <w:rFonts w:ascii="Bookman Old Style" w:eastAsiaTheme="minorEastAsia" w:hAnsi="Bookman Old Style" w:cs="Arial"/>
        </w:rPr>
        <w:lastRenderedPageBreak/>
        <w:t>Comparison of approved, actual and proposed for truing up for FY</w:t>
      </w:r>
      <w:r>
        <w:rPr>
          <w:rFonts w:ascii="Bookman Old Style" w:eastAsiaTheme="minorEastAsia" w:hAnsi="Bookman Old Style" w:cs="Arial"/>
        </w:rPr>
        <w:t>-20</w:t>
      </w:r>
      <w:r w:rsidRPr="009670C6">
        <w:rPr>
          <w:rFonts w:ascii="Bookman Old Style" w:eastAsiaTheme="minorEastAsia" w:hAnsi="Bookman Old Style" w:cs="Arial"/>
        </w:rPr>
        <w:t xml:space="preserve"> is depicted below:</w:t>
      </w:r>
      <w:r w:rsidRPr="00573189">
        <w:rPr>
          <w:rFonts w:ascii="Bookman Old Style" w:eastAsiaTheme="minorEastAsia" w:hAnsi="Bookman Old Style" w:cs="Arial"/>
          <w:b/>
          <w:sz w:val="18"/>
          <w:szCs w:val="26"/>
        </w:rPr>
        <w:t xml:space="preserve">                                                 </w:t>
      </w:r>
      <w:r w:rsidR="004D2832" w:rsidRPr="00573189">
        <w:rPr>
          <w:rFonts w:ascii="Bookman Old Style" w:eastAsiaTheme="minorEastAsia" w:hAnsi="Bookman Old Style" w:cs="Arial"/>
          <w:b/>
          <w:sz w:val="18"/>
          <w:szCs w:val="26"/>
        </w:rPr>
        <w:t xml:space="preserve">  </w:t>
      </w:r>
    </w:p>
    <w:p w:rsidR="004D2832" w:rsidRPr="00573189" w:rsidRDefault="00DF4E6A" w:rsidP="004D2832">
      <w:pPr>
        <w:spacing w:line="240" w:lineRule="auto"/>
        <w:ind w:right="67"/>
        <w:jc w:val="center"/>
        <w:rPr>
          <w:rFonts w:ascii="Bookman Old Style" w:eastAsiaTheme="minorEastAsia" w:hAnsi="Bookman Old Style" w:cs="Arial"/>
          <w:b/>
          <w:sz w:val="18"/>
          <w:szCs w:val="20"/>
        </w:rPr>
      </w:pPr>
      <w:r>
        <w:rPr>
          <w:rFonts w:ascii="Bookman Old Style" w:eastAsiaTheme="minorEastAsia" w:hAnsi="Bookman Old Style" w:cs="Arial"/>
          <w:b/>
          <w:sz w:val="18"/>
          <w:szCs w:val="26"/>
        </w:rPr>
        <w:t xml:space="preserve">                                </w:t>
      </w:r>
      <w:r w:rsidR="004D2832" w:rsidRPr="00573189">
        <w:rPr>
          <w:rFonts w:ascii="Bookman Old Style" w:eastAsiaTheme="minorEastAsia" w:hAnsi="Bookman Old Style" w:cs="Arial"/>
          <w:b/>
          <w:sz w:val="18"/>
          <w:szCs w:val="26"/>
        </w:rPr>
        <w:t xml:space="preserve">    </w:t>
      </w:r>
      <w:r w:rsidR="004D2832" w:rsidRPr="00573189">
        <w:rPr>
          <w:rFonts w:ascii="Bookman Old Style" w:hAnsi="Bookman Old Style" w:cs="Calibri"/>
          <w:b/>
          <w:bCs/>
          <w:sz w:val="18"/>
          <w:lang w:eastAsia="en-IN"/>
        </w:rPr>
        <w:t>Table 3.</w:t>
      </w:r>
      <w:r>
        <w:rPr>
          <w:rFonts w:ascii="Bookman Old Style" w:hAnsi="Bookman Old Style" w:cs="Calibri"/>
          <w:b/>
          <w:bCs/>
          <w:sz w:val="18"/>
          <w:szCs w:val="20"/>
          <w:lang w:eastAsia="en-IN"/>
        </w:rPr>
        <w:t>29</w:t>
      </w:r>
      <w:r w:rsidR="004D2832" w:rsidRPr="00573189">
        <w:rPr>
          <w:rFonts w:ascii="Bookman Old Style" w:eastAsiaTheme="minorEastAsia" w:hAnsi="Bookman Old Style" w:cs="Arial"/>
          <w:b/>
          <w:sz w:val="18"/>
          <w:szCs w:val="20"/>
        </w:rPr>
        <w:t xml:space="preserve">             </w:t>
      </w:r>
      <w:r w:rsidR="00573189">
        <w:rPr>
          <w:rFonts w:ascii="Bookman Old Style" w:eastAsiaTheme="minorEastAsia" w:hAnsi="Bookman Old Style" w:cs="Arial"/>
          <w:b/>
          <w:sz w:val="18"/>
          <w:szCs w:val="20"/>
        </w:rPr>
        <w:t xml:space="preserve">               </w:t>
      </w:r>
      <w:r w:rsidR="004D2832" w:rsidRPr="00573189">
        <w:rPr>
          <w:rFonts w:ascii="Bookman Old Style" w:eastAsiaTheme="minorEastAsia" w:hAnsi="Bookman Old Style" w:cs="Arial"/>
          <w:b/>
          <w:sz w:val="18"/>
          <w:szCs w:val="20"/>
        </w:rPr>
        <w:t xml:space="preserve">          Amount in Crs.</w:t>
      </w:r>
    </w:p>
    <w:tbl>
      <w:tblPr>
        <w:tblW w:w="8823" w:type="dxa"/>
        <w:jc w:val="center"/>
        <w:tblLook w:val="04A0" w:firstRow="1" w:lastRow="0" w:firstColumn="1" w:lastColumn="0" w:noHBand="0" w:noVBand="1"/>
      </w:tblPr>
      <w:tblGrid>
        <w:gridCol w:w="2635"/>
        <w:gridCol w:w="2111"/>
        <w:gridCol w:w="1848"/>
        <w:gridCol w:w="2229"/>
      </w:tblGrid>
      <w:tr w:rsidR="00381ACE" w:rsidRPr="00573189" w:rsidTr="000D6A1D">
        <w:trPr>
          <w:trHeight w:val="894"/>
          <w:jc w:val="center"/>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573189" w:rsidRDefault="00381ACE" w:rsidP="001B5199">
            <w:pPr>
              <w:spacing w:after="0" w:line="240" w:lineRule="auto"/>
              <w:ind w:right="67"/>
              <w:jc w:val="center"/>
              <w:rPr>
                <w:rFonts w:ascii="Bookman Old Style" w:hAnsi="Bookman Old Style"/>
                <w:b/>
                <w:bCs/>
                <w:sz w:val="20"/>
                <w:lang w:eastAsia="en-IN"/>
              </w:rPr>
            </w:pPr>
            <w:r w:rsidRPr="00573189">
              <w:rPr>
                <w:rFonts w:ascii="Bookman Old Style" w:hAnsi="Bookman Old Style"/>
                <w:b/>
                <w:bCs/>
                <w:sz w:val="20"/>
                <w:lang w:eastAsia="en-IN"/>
              </w:rPr>
              <w:t>Particulars</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381ACE" w:rsidRPr="00573189" w:rsidRDefault="00381ACE" w:rsidP="001B5199">
            <w:pPr>
              <w:spacing w:after="0" w:line="240" w:lineRule="auto"/>
              <w:ind w:right="67"/>
              <w:jc w:val="center"/>
              <w:rPr>
                <w:rFonts w:ascii="Bookman Old Style" w:hAnsi="Bookman Old Style"/>
                <w:b/>
                <w:bCs/>
                <w:sz w:val="20"/>
                <w:lang w:eastAsia="en-IN"/>
              </w:rPr>
            </w:pPr>
            <w:r w:rsidRPr="00573189">
              <w:rPr>
                <w:rFonts w:ascii="Bookman Old Style" w:hAnsi="Bookman Old Style"/>
                <w:b/>
                <w:bCs/>
                <w:sz w:val="20"/>
                <w:lang w:eastAsia="en-IN"/>
              </w:rPr>
              <w:t>Approved by the Commission for FY-20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381ACE" w:rsidRPr="00573189" w:rsidRDefault="00381ACE" w:rsidP="001B5199">
            <w:pPr>
              <w:spacing w:after="0" w:line="240" w:lineRule="auto"/>
              <w:ind w:right="67"/>
              <w:jc w:val="center"/>
              <w:rPr>
                <w:rFonts w:ascii="Bookman Old Style" w:hAnsi="Bookman Old Style"/>
                <w:b/>
                <w:bCs/>
                <w:sz w:val="20"/>
                <w:lang w:eastAsia="en-IN"/>
              </w:rPr>
            </w:pPr>
            <w:r w:rsidRPr="00573189">
              <w:rPr>
                <w:rFonts w:ascii="Bookman Old Style" w:hAnsi="Bookman Old Style"/>
                <w:b/>
                <w:bCs/>
                <w:sz w:val="20"/>
                <w:lang w:eastAsia="en-IN"/>
              </w:rPr>
              <w:t>Actuals as per Accounts</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rsidR="00381ACE" w:rsidRPr="00573189" w:rsidRDefault="00381ACE" w:rsidP="001B5199">
            <w:pPr>
              <w:spacing w:after="0" w:line="240" w:lineRule="auto"/>
              <w:ind w:right="67"/>
              <w:jc w:val="center"/>
              <w:rPr>
                <w:rFonts w:ascii="Bookman Old Style" w:hAnsi="Bookman Old Style"/>
                <w:b/>
                <w:bCs/>
                <w:sz w:val="20"/>
                <w:lang w:eastAsia="en-IN"/>
              </w:rPr>
            </w:pPr>
            <w:r w:rsidRPr="00573189">
              <w:rPr>
                <w:rFonts w:ascii="Bookman Old Style" w:hAnsi="Bookman Old Style"/>
                <w:b/>
                <w:bCs/>
                <w:sz w:val="20"/>
                <w:lang w:eastAsia="en-IN"/>
              </w:rPr>
              <w:t>Proposed for Truing UP on normative basis</w:t>
            </w:r>
          </w:p>
        </w:tc>
      </w:tr>
      <w:tr w:rsidR="00381ACE" w:rsidRPr="00573189" w:rsidTr="000D6A1D">
        <w:trPr>
          <w:trHeight w:val="462"/>
          <w:jc w:val="center"/>
        </w:trPr>
        <w:tc>
          <w:tcPr>
            <w:tcW w:w="2635" w:type="dxa"/>
            <w:tcBorders>
              <w:top w:val="nil"/>
              <w:left w:val="single" w:sz="4" w:space="0" w:color="auto"/>
              <w:bottom w:val="single" w:sz="4" w:space="0" w:color="auto"/>
              <w:right w:val="single" w:sz="4" w:space="0" w:color="auto"/>
            </w:tcBorders>
            <w:shd w:val="clear" w:color="auto" w:fill="auto"/>
            <w:noWrap/>
            <w:vAlign w:val="bottom"/>
            <w:hideMark/>
          </w:tcPr>
          <w:p w:rsidR="00381ACE" w:rsidRPr="00573189" w:rsidRDefault="00381ACE" w:rsidP="00C1148F">
            <w:pPr>
              <w:spacing w:after="0" w:line="360" w:lineRule="auto"/>
              <w:ind w:right="-108"/>
              <w:rPr>
                <w:rFonts w:ascii="Bookman Old Style" w:hAnsi="Bookman Old Style"/>
                <w:sz w:val="20"/>
                <w:lang w:eastAsia="en-IN"/>
              </w:rPr>
            </w:pPr>
            <w:r w:rsidRPr="00573189">
              <w:rPr>
                <w:rFonts w:ascii="Bookman Old Style" w:hAnsi="Bookman Old Style"/>
                <w:sz w:val="20"/>
                <w:lang w:eastAsia="en-IN"/>
              </w:rPr>
              <w:t>O&amp;M Expenses (in Crs.)</w:t>
            </w:r>
          </w:p>
        </w:tc>
        <w:tc>
          <w:tcPr>
            <w:tcW w:w="2111" w:type="dxa"/>
            <w:tcBorders>
              <w:top w:val="nil"/>
              <w:left w:val="nil"/>
              <w:bottom w:val="single" w:sz="4" w:space="0" w:color="auto"/>
              <w:right w:val="single" w:sz="4" w:space="0" w:color="auto"/>
            </w:tcBorders>
            <w:shd w:val="clear" w:color="auto" w:fill="auto"/>
            <w:noWrap/>
            <w:vAlign w:val="bottom"/>
            <w:hideMark/>
          </w:tcPr>
          <w:p w:rsidR="00381ACE" w:rsidRPr="00573189" w:rsidRDefault="00381ACE" w:rsidP="00C1148F">
            <w:pPr>
              <w:spacing w:after="0" w:line="360" w:lineRule="auto"/>
              <w:ind w:right="67"/>
              <w:jc w:val="right"/>
              <w:rPr>
                <w:rFonts w:ascii="Bookman Old Style" w:hAnsi="Bookman Old Style"/>
                <w:sz w:val="20"/>
                <w:lang w:eastAsia="en-IN"/>
              </w:rPr>
            </w:pPr>
            <w:r w:rsidRPr="00573189">
              <w:rPr>
                <w:rFonts w:ascii="Bookman Old Style" w:hAnsi="Bookman Old Style"/>
                <w:sz w:val="20"/>
                <w:lang w:eastAsia="en-IN"/>
              </w:rPr>
              <w:t>1890.61</w:t>
            </w:r>
          </w:p>
        </w:tc>
        <w:tc>
          <w:tcPr>
            <w:tcW w:w="1848" w:type="dxa"/>
            <w:tcBorders>
              <w:top w:val="nil"/>
              <w:left w:val="nil"/>
              <w:bottom w:val="single" w:sz="4" w:space="0" w:color="auto"/>
              <w:right w:val="single" w:sz="4" w:space="0" w:color="auto"/>
            </w:tcBorders>
            <w:shd w:val="clear" w:color="auto" w:fill="auto"/>
            <w:noWrap/>
            <w:vAlign w:val="bottom"/>
            <w:hideMark/>
          </w:tcPr>
          <w:p w:rsidR="00381ACE" w:rsidRPr="00573189" w:rsidRDefault="00381ACE" w:rsidP="00C1148F">
            <w:pPr>
              <w:spacing w:after="0" w:line="360" w:lineRule="auto"/>
              <w:ind w:right="67"/>
              <w:jc w:val="right"/>
              <w:rPr>
                <w:rFonts w:ascii="Bookman Old Style" w:hAnsi="Bookman Old Style"/>
                <w:sz w:val="20"/>
                <w:lang w:eastAsia="en-IN"/>
              </w:rPr>
            </w:pPr>
            <w:r w:rsidRPr="00573189">
              <w:rPr>
                <w:rFonts w:ascii="Bookman Old Style" w:hAnsi="Bookman Old Style"/>
                <w:sz w:val="20"/>
                <w:lang w:eastAsia="en-IN"/>
              </w:rPr>
              <w:t>2087.15</w:t>
            </w:r>
          </w:p>
        </w:tc>
        <w:tc>
          <w:tcPr>
            <w:tcW w:w="2229" w:type="dxa"/>
            <w:tcBorders>
              <w:top w:val="nil"/>
              <w:left w:val="nil"/>
              <w:bottom w:val="single" w:sz="4" w:space="0" w:color="auto"/>
              <w:right w:val="single" w:sz="4" w:space="0" w:color="auto"/>
            </w:tcBorders>
            <w:shd w:val="clear" w:color="auto" w:fill="auto"/>
            <w:noWrap/>
            <w:vAlign w:val="bottom"/>
            <w:hideMark/>
          </w:tcPr>
          <w:p w:rsidR="00381ACE" w:rsidRPr="00573189" w:rsidRDefault="00365981" w:rsidP="00C1148F">
            <w:pPr>
              <w:spacing w:after="0" w:line="360" w:lineRule="auto"/>
              <w:ind w:right="67"/>
              <w:jc w:val="right"/>
              <w:rPr>
                <w:rFonts w:ascii="Bookman Old Style" w:hAnsi="Bookman Old Style"/>
                <w:sz w:val="20"/>
                <w:lang w:eastAsia="en-IN"/>
              </w:rPr>
            </w:pPr>
            <w:r>
              <w:rPr>
                <w:rFonts w:ascii="Bookman Old Style" w:hAnsi="Bookman Old Style"/>
                <w:sz w:val="20"/>
                <w:lang w:eastAsia="en-IN"/>
              </w:rPr>
              <w:t>2095.97</w:t>
            </w:r>
          </w:p>
        </w:tc>
      </w:tr>
    </w:tbl>
    <w:p w:rsidR="00381ACE" w:rsidRDefault="00381ACE" w:rsidP="00717D3E">
      <w:pPr>
        <w:spacing w:after="0" w:line="360" w:lineRule="auto"/>
        <w:ind w:left="720" w:right="67"/>
        <w:jc w:val="both"/>
        <w:rPr>
          <w:rFonts w:ascii="Bookman Old Style" w:eastAsiaTheme="minorEastAsia" w:hAnsi="Bookman Old Style" w:cs="Arial"/>
          <w:b/>
          <w:sz w:val="20"/>
          <w:szCs w:val="26"/>
        </w:rPr>
      </w:pPr>
    </w:p>
    <w:p w:rsidR="00381ACE" w:rsidRPr="00EB4A5E" w:rsidRDefault="00381ACE" w:rsidP="00717D3E">
      <w:pPr>
        <w:spacing w:after="0" w:line="360" w:lineRule="auto"/>
        <w:ind w:right="67"/>
        <w:jc w:val="both"/>
        <w:rPr>
          <w:rFonts w:ascii="Bookman Old Style" w:eastAsiaTheme="minorEastAsia" w:hAnsi="Bookman Old Style" w:cs="Arial"/>
        </w:rPr>
      </w:pPr>
      <w:r w:rsidRPr="00EB4A5E">
        <w:rPr>
          <w:rFonts w:ascii="Bookman Old Style" w:eastAsiaTheme="minorEastAsia" w:hAnsi="Bookman Old Style" w:cs="Arial"/>
        </w:rPr>
        <w:t>Commission is requested to true up the O&amp;M expenses of Rs.</w:t>
      </w:r>
      <w:r w:rsidRPr="003863B7">
        <w:rPr>
          <w:rFonts w:ascii="Bookman Old Style" w:eastAsia="Calibri" w:hAnsi="Bookman Old Style" w:cs="Arial"/>
          <w:b/>
          <w:sz w:val="20"/>
          <w:szCs w:val="26"/>
        </w:rPr>
        <w:t xml:space="preserve"> </w:t>
      </w:r>
      <w:r w:rsidR="00365981">
        <w:rPr>
          <w:rFonts w:ascii="Bookman Old Style" w:eastAsia="Calibri" w:hAnsi="Bookman Old Style" w:cs="Arial"/>
          <w:b/>
          <w:sz w:val="20"/>
          <w:szCs w:val="26"/>
        </w:rPr>
        <w:t>2095.97</w:t>
      </w:r>
      <w:r>
        <w:rPr>
          <w:rFonts w:ascii="Bookman Old Style" w:eastAsia="Calibri" w:hAnsi="Bookman Old Style" w:cs="Arial"/>
          <w:b/>
          <w:sz w:val="20"/>
          <w:szCs w:val="26"/>
        </w:rPr>
        <w:t xml:space="preserve"> </w:t>
      </w:r>
      <w:r w:rsidRPr="003863B7">
        <w:rPr>
          <w:rFonts w:ascii="Bookman Old Style" w:eastAsiaTheme="minorEastAsia" w:hAnsi="Bookman Old Style" w:cs="Arial"/>
          <w:b/>
        </w:rPr>
        <w:t>Cr</w:t>
      </w:r>
      <w:r w:rsidRPr="00EB4A5E">
        <w:rPr>
          <w:rFonts w:ascii="Bookman Old Style" w:eastAsiaTheme="minorEastAsia" w:hAnsi="Bookman Old Style" w:cs="Arial"/>
        </w:rPr>
        <w:t>. on normative basis.</w:t>
      </w:r>
    </w:p>
    <w:p w:rsidR="00381ACE" w:rsidRPr="003863B7" w:rsidRDefault="00381ACE" w:rsidP="00717D3E">
      <w:pPr>
        <w:spacing w:line="360" w:lineRule="auto"/>
        <w:ind w:right="67"/>
        <w:jc w:val="both"/>
        <w:rPr>
          <w:rFonts w:ascii="Bookman Old Style" w:eastAsiaTheme="minorEastAsia" w:hAnsi="Bookman Old Style" w:cs="Arial"/>
          <w:b/>
          <w:sz w:val="28"/>
        </w:rPr>
      </w:pPr>
      <w:r w:rsidRPr="003863B7">
        <w:rPr>
          <w:rFonts w:ascii="Bookman Old Style" w:eastAsiaTheme="minorEastAsia" w:hAnsi="Bookman Old Style" w:cs="Arial"/>
          <w:b/>
          <w:sz w:val="28"/>
        </w:rPr>
        <w:t>Depreciation:</w:t>
      </w:r>
    </w:p>
    <w:p w:rsidR="00381ACE" w:rsidRDefault="00381ACE" w:rsidP="003C15AC">
      <w:pPr>
        <w:spacing w:line="360" w:lineRule="auto"/>
        <w:ind w:right="67"/>
        <w:jc w:val="both"/>
        <w:rPr>
          <w:rFonts w:ascii="Bookman Old Style" w:eastAsiaTheme="minorEastAsia" w:hAnsi="Bookman Old Style" w:cs="Arial"/>
          <w:color w:val="000000" w:themeColor="text1"/>
        </w:rPr>
      </w:pPr>
      <w:r w:rsidRPr="001B5199">
        <w:rPr>
          <w:rFonts w:ascii="Bookman Old Style" w:eastAsiaTheme="minorEastAsia" w:hAnsi="Bookman Old Style" w:cs="Arial"/>
        </w:rPr>
        <w:t>BESCOM submits that for FY-20, the Hon’ble Commission in it Tariff Order dated 30</w:t>
      </w:r>
      <w:r w:rsidRPr="001B5199">
        <w:rPr>
          <w:rFonts w:ascii="Bookman Old Style" w:eastAsiaTheme="minorEastAsia" w:hAnsi="Bookman Old Style" w:cs="Arial"/>
          <w:vertAlign w:val="superscript"/>
        </w:rPr>
        <w:t>th</w:t>
      </w:r>
      <w:r w:rsidR="001B5199" w:rsidRPr="001B5199">
        <w:rPr>
          <w:rFonts w:ascii="Bookman Old Style" w:eastAsiaTheme="minorEastAsia" w:hAnsi="Bookman Old Style" w:cs="Arial"/>
        </w:rPr>
        <w:t xml:space="preserve"> </w:t>
      </w:r>
      <w:r w:rsidRPr="001B5199">
        <w:rPr>
          <w:rFonts w:ascii="Bookman Old Style" w:eastAsiaTheme="minorEastAsia" w:hAnsi="Bookman Old Style" w:cs="Arial"/>
        </w:rPr>
        <w:t xml:space="preserve">May 2019 has </w:t>
      </w:r>
      <w:r w:rsidRPr="003C15AC">
        <w:rPr>
          <w:rFonts w:ascii="Bookman Old Style" w:eastAsiaTheme="minorEastAsia" w:hAnsi="Bookman Old Style" w:cs="Arial"/>
          <w:color w:val="000000" w:themeColor="text1"/>
        </w:rPr>
        <w:t>considered the Depreciation in accordance with the provisions of the KERC (Terms and Conditions for determination of Tariff) Regulations, 2006. On the similar line BESCOM is claiming the depreciation. A comparison of Depreciation expense approved by the Hon’ble Commission and actual depreciation expenses of BESCOM is shown in the following table.</w:t>
      </w:r>
    </w:p>
    <w:p w:rsidR="00381ACE" w:rsidRPr="00573189" w:rsidRDefault="00381ACE" w:rsidP="004D2832">
      <w:pPr>
        <w:spacing w:line="240" w:lineRule="auto"/>
        <w:ind w:right="67"/>
        <w:jc w:val="center"/>
        <w:rPr>
          <w:rFonts w:ascii="Bookman Old Style" w:eastAsiaTheme="minorEastAsia" w:hAnsi="Bookman Old Style" w:cs="Arial"/>
          <w:b/>
          <w:sz w:val="18"/>
          <w:szCs w:val="20"/>
        </w:rPr>
      </w:pPr>
      <w:r w:rsidRPr="00573189">
        <w:rPr>
          <w:rFonts w:ascii="Bookman Old Style" w:eastAsiaTheme="minorEastAsia" w:hAnsi="Bookman Old Style" w:cs="Arial"/>
          <w:b/>
          <w:sz w:val="18"/>
          <w:szCs w:val="26"/>
        </w:rPr>
        <w:t xml:space="preserve">                </w:t>
      </w:r>
      <w:r w:rsidR="004D2832" w:rsidRPr="00573189">
        <w:rPr>
          <w:rFonts w:ascii="Bookman Old Style" w:eastAsiaTheme="minorEastAsia" w:hAnsi="Bookman Old Style" w:cs="Arial"/>
          <w:b/>
          <w:sz w:val="18"/>
          <w:szCs w:val="26"/>
        </w:rPr>
        <w:t xml:space="preserve">                                      </w:t>
      </w:r>
      <w:r w:rsidRPr="00573189">
        <w:rPr>
          <w:rFonts w:ascii="Bookman Old Style" w:eastAsiaTheme="minorEastAsia" w:hAnsi="Bookman Old Style" w:cs="Arial"/>
          <w:b/>
          <w:sz w:val="18"/>
          <w:szCs w:val="26"/>
        </w:rPr>
        <w:t xml:space="preserve"> </w:t>
      </w:r>
      <w:r w:rsidR="004D2832" w:rsidRPr="00573189">
        <w:rPr>
          <w:rFonts w:ascii="Bookman Old Style" w:hAnsi="Bookman Old Style" w:cs="Calibri"/>
          <w:b/>
          <w:bCs/>
          <w:sz w:val="18"/>
          <w:lang w:eastAsia="en-IN"/>
        </w:rPr>
        <w:t>Table 3.</w:t>
      </w:r>
      <w:r w:rsidR="00E139D2">
        <w:rPr>
          <w:rFonts w:ascii="Bookman Old Style" w:hAnsi="Bookman Old Style" w:cs="Calibri"/>
          <w:b/>
          <w:bCs/>
          <w:sz w:val="18"/>
          <w:szCs w:val="20"/>
          <w:lang w:eastAsia="en-IN"/>
        </w:rPr>
        <w:t>3</w:t>
      </w:r>
      <w:r w:rsidR="00DF4E6A">
        <w:rPr>
          <w:rFonts w:ascii="Bookman Old Style" w:hAnsi="Bookman Old Style" w:cs="Calibri"/>
          <w:b/>
          <w:bCs/>
          <w:sz w:val="18"/>
          <w:szCs w:val="20"/>
          <w:lang w:eastAsia="en-IN"/>
        </w:rPr>
        <w:t>0</w:t>
      </w:r>
      <w:r w:rsidR="004D2832" w:rsidRPr="00573189">
        <w:rPr>
          <w:rFonts w:ascii="Bookman Old Style" w:eastAsiaTheme="minorEastAsia" w:hAnsi="Bookman Old Style" w:cs="Arial"/>
          <w:b/>
          <w:sz w:val="18"/>
          <w:szCs w:val="20"/>
        </w:rPr>
        <w:t xml:space="preserve">          </w:t>
      </w:r>
      <w:r w:rsidR="00573189">
        <w:rPr>
          <w:rFonts w:ascii="Bookman Old Style" w:eastAsiaTheme="minorEastAsia" w:hAnsi="Bookman Old Style" w:cs="Arial"/>
          <w:b/>
          <w:sz w:val="18"/>
          <w:szCs w:val="20"/>
        </w:rPr>
        <w:t xml:space="preserve">            </w:t>
      </w:r>
      <w:r w:rsidR="004D2832" w:rsidRPr="00573189">
        <w:rPr>
          <w:rFonts w:ascii="Bookman Old Style" w:eastAsiaTheme="minorEastAsia" w:hAnsi="Bookman Old Style" w:cs="Arial"/>
          <w:b/>
          <w:sz w:val="18"/>
          <w:szCs w:val="20"/>
        </w:rPr>
        <w:t xml:space="preserve">                Amount in Crs.</w:t>
      </w:r>
    </w:p>
    <w:tbl>
      <w:tblPr>
        <w:tblW w:w="9211" w:type="dxa"/>
        <w:jc w:val="center"/>
        <w:tblLook w:val="04A0" w:firstRow="1" w:lastRow="0" w:firstColumn="1" w:lastColumn="0" w:noHBand="0" w:noVBand="1"/>
      </w:tblPr>
      <w:tblGrid>
        <w:gridCol w:w="4955"/>
        <w:gridCol w:w="1442"/>
        <w:gridCol w:w="1345"/>
        <w:gridCol w:w="1469"/>
      </w:tblGrid>
      <w:tr w:rsidR="00381ACE" w:rsidRPr="00702CCA" w:rsidTr="00702CCA">
        <w:trPr>
          <w:trHeight w:val="429"/>
          <w:jc w:val="center"/>
        </w:trPr>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jc w:val="center"/>
              <w:rPr>
                <w:rFonts w:ascii="Bookman Old Style" w:hAnsi="Bookman Old Style"/>
                <w:b/>
                <w:bCs/>
                <w:sz w:val="20"/>
                <w:lang w:eastAsia="en-IN"/>
              </w:rPr>
            </w:pPr>
            <w:r w:rsidRPr="00702CCA">
              <w:rPr>
                <w:rFonts w:ascii="Bookman Old Style" w:hAnsi="Bookman Old Style"/>
                <w:b/>
                <w:bCs/>
                <w:sz w:val="20"/>
                <w:lang w:eastAsia="en-IN"/>
              </w:rPr>
              <w:t>Particulars</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jc w:val="center"/>
              <w:rPr>
                <w:rFonts w:ascii="Bookman Old Style" w:hAnsi="Bookman Old Style"/>
                <w:b/>
                <w:bCs/>
                <w:sz w:val="20"/>
                <w:lang w:eastAsia="en-IN"/>
              </w:rPr>
            </w:pPr>
            <w:r w:rsidRPr="00702CCA">
              <w:rPr>
                <w:rFonts w:ascii="Bookman Old Style" w:hAnsi="Bookman Old Style"/>
                <w:b/>
                <w:bCs/>
                <w:sz w:val="20"/>
                <w:lang w:eastAsia="en-IN"/>
              </w:rPr>
              <w:t>Approved</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jc w:val="center"/>
              <w:rPr>
                <w:rFonts w:ascii="Bookman Old Style" w:hAnsi="Bookman Old Style"/>
                <w:b/>
                <w:bCs/>
                <w:sz w:val="20"/>
                <w:lang w:eastAsia="en-IN"/>
              </w:rPr>
            </w:pPr>
            <w:r w:rsidRPr="00702CCA">
              <w:rPr>
                <w:rFonts w:ascii="Bookman Old Style" w:hAnsi="Bookman Old Style"/>
                <w:b/>
                <w:bCs/>
                <w:sz w:val="20"/>
                <w:lang w:eastAsia="en-IN"/>
              </w:rPr>
              <w:t>Actual</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jc w:val="center"/>
              <w:rPr>
                <w:rFonts w:ascii="Bookman Old Style" w:hAnsi="Bookman Old Style"/>
                <w:b/>
                <w:bCs/>
                <w:sz w:val="20"/>
                <w:lang w:eastAsia="en-IN"/>
              </w:rPr>
            </w:pPr>
            <w:r w:rsidRPr="00702CCA">
              <w:rPr>
                <w:rFonts w:ascii="Bookman Old Style" w:hAnsi="Bookman Old Style"/>
                <w:b/>
                <w:bCs/>
                <w:sz w:val="20"/>
                <w:lang w:eastAsia="en-IN"/>
              </w:rPr>
              <w:t>Deviation</w:t>
            </w:r>
          </w:p>
        </w:tc>
      </w:tr>
      <w:tr w:rsidR="00381ACE" w:rsidRPr="00702CCA" w:rsidTr="00702CCA">
        <w:trPr>
          <w:trHeight w:val="429"/>
          <w:jc w:val="center"/>
        </w:trPr>
        <w:tc>
          <w:tcPr>
            <w:tcW w:w="4955" w:type="dxa"/>
            <w:tcBorders>
              <w:top w:val="nil"/>
              <w:left w:val="single" w:sz="4" w:space="0" w:color="auto"/>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rPr>
                <w:rFonts w:ascii="Bookman Old Style" w:hAnsi="Bookman Old Style"/>
                <w:sz w:val="20"/>
                <w:lang w:eastAsia="en-IN"/>
              </w:rPr>
            </w:pPr>
            <w:r w:rsidRPr="00702CCA">
              <w:rPr>
                <w:rFonts w:ascii="Bookman Old Style" w:hAnsi="Bookman Old Style"/>
                <w:sz w:val="20"/>
                <w:lang w:eastAsia="en-IN"/>
              </w:rPr>
              <w:t>Depreciation on Buildings</w:t>
            </w:r>
          </w:p>
        </w:tc>
        <w:tc>
          <w:tcPr>
            <w:tcW w:w="1442"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10.37</w:t>
            </w:r>
          </w:p>
        </w:tc>
        <w:tc>
          <w:tcPr>
            <w:tcW w:w="1345"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9.40</w:t>
            </w:r>
          </w:p>
        </w:tc>
        <w:tc>
          <w:tcPr>
            <w:tcW w:w="1469"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-0.97</w:t>
            </w:r>
          </w:p>
        </w:tc>
      </w:tr>
      <w:tr w:rsidR="00381ACE" w:rsidRPr="00702CCA" w:rsidTr="00702CCA">
        <w:trPr>
          <w:trHeight w:val="558"/>
          <w:jc w:val="center"/>
        </w:trPr>
        <w:tc>
          <w:tcPr>
            <w:tcW w:w="4955" w:type="dxa"/>
            <w:tcBorders>
              <w:top w:val="nil"/>
              <w:left w:val="single" w:sz="4" w:space="0" w:color="auto"/>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rPr>
                <w:rFonts w:ascii="Bookman Old Style" w:hAnsi="Bookman Old Style"/>
                <w:sz w:val="20"/>
                <w:lang w:eastAsia="en-IN"/>
              </w:rPr>
            </w:pPr>
            <w:r w:rsidRPr="00702CCA">
              <w:rPr>
                <w:rFonts w:ascii="Bookman Old Style" w:hAnsi="Bookman Old Style"/>
                <w:sz w:val="20"/>
                <w:lang w:eastAsia="en-IN"/>
              </w:rPr>
              <w:t xml:space="preserve">Depreciation on Civil works (pipeline, </w:t>
            </w:r>
            <w:r w:rsidR="006537C6" w:rsidRPr="00702CCA">
              <w:rPr>
                <w:rFonts w:ascii="Bookman Old Style" w:hAnsi="Bookman Old Style"/>
                <w:sz w:val="20"/>
                <w:lang w:eastAsia="en-IN"/>
              </w:rPr>
              <w:t>sewage</w:t>
            </w:r>
            <w:r w:rsidRPr="00702CCA">
              <w:rPr>
                <w:rFonts w:ascii="Bookman Old Style" w:hAnsi="Bookman Old Style"/>
                <w:sz w:val="20"/>
                <w:lang w:eastAsia="en-IN"/>
              </w:rPr>
              <w:t>, drainage, water supply etc.,)</w:t>
            </w:r>
          </w:p>
        </w:tc>
        <w:tc>
          <w:tcPr>
            <w:tcW w:w="1442"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0.31</w:t>
            </w:r>
          </w:p>
        </w:tc>
        <w:tc>
          <w:tcPr>
            <w:tcW w:w="1345"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0.37</w:t>
            </w:r>
          </w:p>
        </w:tc>
        <w:tc>
          <w:tcPr>
            <w:tcW w:w="1469"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0.06</w:t>
            </w:r>
          </w:p>
        </w:tc>
      </w:tr>
      <w:tr w:rsidR="00381ACE" w:rsidRPr="00702CCA" w:rsidTr="00702CCA">
        <w:trPr>
          <w:trHeight w:val="429"/>
          <w:jc w:val="center"/>
        </w:trPr>
        <w:tc>
          <w:tcPr>
            <w:tcW w:w="4955" w:type="dxa"/>
            <w:tcBorders>
              <w:top w:val="nil"/>
              <w:left w:val="single" w:sz="4" w:space="0" w:color="auto"/>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rPr>
                <w:rFonts w:ascii="Bookman Old Style" w:hAnsi="Bookman Old Style"/>
                <w:sz w:val="20"/>
                <w:lang w:eastAsia="en-IN"/>
              </w:rPr>
            </w:pPr>
            <w:r w:rsidRPr="00702CCA">
              <w:rPr>
                <w:rFonts w:ascii="Bookman Old Style" w:hAnsi="Bookman Old Style"/>
                <w:sz w:val="20"/>
                <w:lang w:eastAsia="en-IN"/>
              </w:rPr>
              <w:t>Depreciation on Other Civil Works</w:t>
            </w:r>
          </w:p>
        </w:tc>
        <w:tc>
          <w:tcPr>
            <w:tcW w:w="1442"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0.10</w:t>
            </w:r>
          </w:p>
        </w:tc>
        <w:tc>
          <w:tcPr>
            <w:tcW w:w="1345"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0.16</w:t>
            </w:r>
          </w:p>
        </w:tc>
        <w:tc>
          <w:tcPr>
            <w:tcW w:w="1469"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0.06</w:t>
            </w:r>
          </w:p>
        </w:tc>
      </w:tr>
      <w:tr w:rsidR="00381ACE" w:rsidRPr="00702CCA" w:rsidTr="00702CCA">
        <w:trPr>
          <w:trHeight w:val="429"/>
          <w:jc w:val="center"/>
        </w:trPr>
        <w:tc>
          <w:tcPr>
            <w:tcW w:w="4955" w:type="dxa"/>
            <w:tcBorders>
              <w:top w:val="nil"/>
              <w:left w:val="single" w:sz="4" w:space="0" w:color="auto"/>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rPr>
                <w:rFonts w:ascii="Bookman Old Style" w:hAnsi="Bookman Old Style"/>
                <w:sz w:val="20"/>
                <w:lang w:eastAsia="en-IN"/>
              </w:rPr>
            </w:pPr>
            <w:r w:rsidRPr="00702CCA">
              <w:rPr>
                <w:rFonts w:ascii="Bookman Old Style" w:hAnsi="Bookman Old Style"/>
                <w:sz w:val="20"/>
                <w:lang w:eastAsia="en-IN"/>
              </w:rPr>
              <w:t>Depreciation on Plant and Machinery</w:t>
            </w:r>
          </w:p>
        </w:tc>
        <w:tc>
          <w:tcPr>
            <w:tcW w:w="1442"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176.45</w:t>
            </w:r>
          </w:p>
        </w:tc>
        <w:tc>
          <w:tcPr>
            <w:tcW w:w="1345"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253.97</w:t>
            </w:r>
          </w:p>
        </w:tc>
        <w:tc>
          <w:tcPr>
            <w:tcW w:w="1469"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77.52</w:t>
            </w:r>
          </w:p>
        </w:tc>
      </w:tr>
      <w:tr w:rsidR="00381ACE" w:rsidRPr="00702CCA" w:rsidTr="00702CCA">
        <w:trPr>
          <w:trHeight w:val="429"/>
          <w:jc w:val="center"/>
        </w:trPr>
        <w:tc>
          <w:tcPr>
            <w:tcW w:w="4955" w:type="dxa"/>
            <w:tcBorders>
              <w:top w:val="nil"/>
              <w:left w:val="single" w:sz="4" w:space="0" w:color="auto"/>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rPr>
                <w:rFonts w:ascii="Bookman Old Style" w:hAnsi="Bookman Old Style"/>
                <w:sz w:val="20"/>
                <w:lang w:eastAsia="en-IN"/>
              </w:rPr>
            </w:pPr>
            <w:r w:rsidRPr="00702CCA">
              <w:rPr>
                <w:rFonts w:ascii="Bookman Old Style" w:hAnsi="Bookman Old Style"/>
                <w:sz w:val="20"/>
                <w:lang w:eastAsia="en-IN"/>
              </w:rPr>
              <w:t>Depreciation on lines, cable, network etc.,</w:t>
            </w:r>
          </w:p>
        </w:tc>
        <w:tc>
          <w:tcPr>
            <w:tcW w:w="1442"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520.80</w:t>
            </w:r>
          </w:p>
        </w:tc>
        <w:tc>
          <w:tcPr>
            <w:tcW w:w="1345"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661.49</w:t>
            </w:r>
          </w:p>
        </w:tc>
        <w:tc>
          <w:tcPr>
            <w:tcW w:w="1469"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140.69</w:t>
            </w:r>
          </w:p>
        </w:tc>
      </w:tr>
      <w:tr w:rsidR="00381ACE" w:rsidRPr="00702CCA" w:rsidTr="00702CCA">
        <w:trPr>
          <w:trHeight w:val="429"/>
          <w:jc w:val="center"/>
        </w:trPr>
        <w:tc>
          <w:tcPr>
            <w:tcW w:w="4955" w:type="dxa"/>
            <w:tcBorders>
              <w:top w:val="nil"/>
              <w:left w:val="single" w:sz="4" w:space="0" w:color="auto"/>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rPr>
                <w:rFonts w:ascii="Bookman Old Style" w:hAnsi="Bookman Old Style"/>
                <w:sz w:val="20"/>
                <w:lang w:eastAsia="en-IN"/>
              </w:rPr>
            </w:pPr>
            <w:r w:rsidRPr="00702CCA">
              <w:rPr>
                <w:rFonts w:ascii="Bookman Old Style" w:hAnsi="Bookman Old Style"/>
                <w:sz w:val="20"/>
                <w:lang w:eastAsia="en-IN"/>
              </w:rPr>
              <w:t>Depreciation on Vehicles</w:t>
            </w:r>
          </w:p>
        </w:tc>
        <w:tc>
          <w:tcPr>
            <w:tcW w:w="1442"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1.66</w:t>
            </w:r>
          </w:p>
        </w:tc>
        <w:tc>
          <w:tcPr>
            <w:tcW w:w="1345"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1.93</w:t>
            </w:r>
          </w:p>
        </w:tc>
        <w:tc>
          <w:tcPr>
            <w:tcW w:w="1469"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0.27</w:t>
            </w:r>
          </w:p>
        </w:tc>
      </w:tr>
      <w:tr w:rsidR="00381ACE" w:rsidRPr="00702CCA" w:rsidTr="00702CCA">
        <w:trPr>
          <w:trHeight w:val="429"/>
          <w:jc w:val="center"/>
        </w:trPr>
        <w:tc>
          <w:tcPr>
            <w:tcW w:w="4955" w:type="dxa"/>
            <w:tcBorders>
              <w:top w:val="nil"/>
              <w:left w:val="single" w:sz="4" w:space="0" w:color="auto"/>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rPr>
                <w:rFonts w:ascii="Bookman Old Style" w:hAnsi="Bookman Old Style"/>
                <w:sz w:val="20"/>
                <w:lang w:eastAsia="en-IN"/>
              </w:rPr>
            </w:pPr>
            <w:r w:rsidRPr="00702CCA">
              <w:rPr>
                <w:rFonts w:ascii="Bookman Old Style" w:hAnsi="Bookman Old Style"/>
                <w:sz w:val="20"/>
                <w:lang w:eastAsia="en-IN"/>
              </w:rPr>
              <w:t>Depreciation on furniture, fixtures</w:t>
            </w:r>
          </w:p>
        </w:tc>
        <w:tc>
          <w:tcPr>
            <w:tcW w:w="1442"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0.95</w:t>
            </w:r>
          </w:p>
        </w:tc>
        <w:tc>
          <w:tcPr>
            <w:tcW w:w="1345"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1.03</w:t>
            </w:r>
          </w:p>
        </w:tc>
        <w:tc>
          <w:tcPr>
            <w:tcW w:w="1469"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0.08</w:t>
            </w:r>
          </w:p>
        </w:tc>
      </w:tr>
      <w:tr w:rsidR="00381ACE" w:rsidRPr="00702CCA" w:rsidTr="00702CCA">
        <w:trPr>
          <w:trHeight w:val="429"/>
          <w:jc w:val="center"/>
        </w:trPr>
        <w:tc>
          <w:tcPr>
            <w:tcW w:w="4955" w:type="dxa"/>
            <w:tcBorders>
              <w:top w:val="nil"/>
              <w:left w:val="single" w:sz="4" w:space="0" w:color="auto"/>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rPr>
                <w:rFonts w:ascii="Bookman Old Style" w:hAnsi="Bookman Old Style"/>
                <w:sz w:val="20"/>
                <w:lang w:eastAsia="en-IN"/>
              </w:rPr>
            </w:pPr>
            <w:r w:rsidRPr="00702CCA">
              <w:rPr>
                <w:rFonts w:ascii="Bookman Old Style" w:hAnsi="Bookman Old Style"/>
                <w:sz w:val="20"/>
                <w:lang w:eastAsia="en-IN"/>
              </w:rPr>
              <w:t>Depreciation on Office equipment</w:t>
            </w:r>
          </w:p>
        </w:tc>
        <w:tc>
          <w:tcPr>
            <w:tcW w:w="1442"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0.82</w:t>
            </w:r>
          </w:p>
        </w:tc>
        <w:tc>
          <w:tcPr>
            <w:tcW w:w="1345"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1.12</w:t>
            </w:r>
          </w:p>
        </w:tc>
        <w:tc>
          <w:tcPr>
            <w:tcW w:w="1469"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0.30</w:t>
            </w:r>
          </w:p>
        </w:tc>
      </w:tr>
      <w:tr w:rsidR="00381ACE" w:rsidRPr="00702CCA" w:rsidTr="00702CCA">
        <w:trPr>
          <w:trHeight w:val="429"/>
          <w:jc w:val="center"/>
        </w:trPr>
        <w:tc>
          <w:tcPr>
            <w:tcW w:w="4955" w:type="dxa"/>
            <w:tcBorders>
              <w:top w:val="nil"/>
              <w:left w:val="single" w:sz="4" w:space="0" w:color="auto"/>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rPr>
                <w:rFonts w:ascii="Bookman Old Style" w:hAnsi="Bookman Old Style"/>
                <w:sz w:val="20"/>
                <w:lang w:eastAsia="en-IN"/>
              </w:rPr>
            </w:pPr>
            <w:r w:rsidRPr="00702CCA">
              <w:rPr>
                <w:rFonts w:ascii="Bookman Old Style" w:hAnsi="Bookman Old Style"/>
                <w:sz w:val="20"/>
                <w:lang w:eastAsia="en-IN"/>
              </w:rPr>
              <w:t>Depreciation on intangible assets</w:t>
            </w:r>
          </w:p>
        </w:tc>
        <w:tc>
          <w:tcPr>
            <w:tcW w:w="1442"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 </w:t>
            </w:r>
          </w:p>
        </w:tc>
        <w:tc>
          <w:tcPr>
            <w:tcW w:w="1345"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62.55</w:t>
            </w:r>
          </w:p>
        </w:tc>
        <w:tc>
          <w:tcPr>
            <w:tcW w:w="1469"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62.55</w:t>
            </w:r>
          </w:p>
        </w:tc>
      </w:tr>
      <w:tr w:rsidR="00381ACE" w:rsidRPr="00702CCA" w:rsidTr="00702CCA">
        <w:trPr>
          <w:trHeight w:val="596"/>
          <w:jc w:val="center"/>
        </w:trPr>
        <w:tc>
          <w:tcPr>
            <w:tcW w:w="4955" w:type="dxa"/>
            <w:tcBorders>
              <w:top w:val="nil"/>
              <w:left w:val="single" w:sz="4" w:space="0" w:color="auto"/>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rPr>
                <w:rFonts w:ascii="Bookman Old Style" w:hAnsi="Bookman Old Style"/>
                <w:sz w:val="20"/>
                <w:lang w:eastAsia="en-IN"/>
              </w:rPr>
            </w:pPr>
            <w:r w:rsidRPr="00702CCA">
              <w:rPr>
                <w:rFonts w:ascii="Bookman Old Style" w:hAnsi="Bookman Old Style"/>
                <w:sz w:val="20"/>
                <w:lang w:eastAsia="en-IN"/>
              </w:rPr>
              <w:t>Depreciation charged on released material intended to re-use</w:t>
            </w:r>
          </w:p>
        </w:tc>
        <w:tc>
          <w:tcPr>
            <w:tcW w:w="1442"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2.57</w:t>
            </w:r>
          </w:p>
        </w:tc>
        <w:tc>
          <w:tcPr>
            <w:tcW w:w="1345"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2.72</w:t>
            </w:r>
          </w:p>
        </w:tc>
        <w:tc>
          <w:tcPr>
            <w:tcW w:w="1469"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0.15</w:t>
            </w:r>
          </w:p>
        </w:tc>
      </w:tr>
      <w:tr w:rsidR="00381ACE" w:rsidRPr="00702CCA" w:rsidTr="00702CCA">
        <w:trPr>
          <w:trHeight w:val="310"/>
          <w:jc w:val="center"/>
        </w:trPr>
        <w:tc>
          <w:tcPr>
            <w:tcW w:w="4955" w:type="dxa"/>
            <w:tcBorders>
              <w:top w:val="nil"/>
              <w:left w:val="single" w:sz="4" w:space="0" w:color="auto"/>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rPr>
                <w:rFonts w:ascii="Bookman Old Style" w:hAnsi="Bookman Old Style"/>
                <w:b/>
                <w:bCs/>
                <w:sz w:val="20"/>
                <w:lang w:eastAsia="en-IN"/>
              </w:rPr>
            </w:pPr>
            <w:r w:rsidRPr="00702CCA">
              <w:rPr>
                <w:rFonts w:ascii="Bookman Old Style" w:hAnsi="Bookman Old Style"/>
                <w:b/>
                <w:bCs/>
                <w:sz w:val="20"/>
                <w:lang w:eastAsia="en-IN"/>
              </w:rPr>
              <w:t xml:space="preserve">Total </w:t>
            </w:r>
          </w:p>
        </w:tc>
        <w:tc>
          <w:tcPr>
            <w:tcW w:w="1442"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b/>
                <w:bCs/>
                <w:sz w:val="20"/>
                <w:lang w:eastAsia="en-IN"/>
              </w:rPr>
            </w:pPr>
            <w:r w:rsidRPr="00702CCA">
              <w:rPr>
                <w:rFonts w:ascii="Bookman Old Style" w:hAnsi="Bookman Old Style"/>
                <w:b/>
                <w:bCs/>
                <w:sz w:val="20"/>
                <w:lang w:eastAsia="en-IN"/>
              </w:rPr>
              <w:t>714.03</w:t>
            </w:r>
          </w:p>
        </w:tc>
        <w:tc>
          <w:tcPr>
            <w:tcW w:w="1345"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b/>
                <w:bCs/>
                <w:sz w:val="20"/>
                <w:lang w:eastAsia="en-IN"/>
              </w:rPr>
            </w:pPr>
            <w:r w:rsidRPr="00702CCA">
              <w:rPr>
                <w:rFonts w:ascii="Bookman Old Style" w:hAnsi="Bookman Old Style"/>
                <w:b/>
                <w:bCs/>
                <w:sz w:val="20"/>
                <w:lang w:eastAsia="en-IN"/>
              </w:rPr>
              <w:t>994.74</w:t>
            </w:r>
          </w:p>
        </w:tc>
        <w:tc>
          <w:tcPr>
            <w:tcW w:w="1469"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b/>
                <w:bCs/>
                <w:sz w:val="20"/>
                <w:lang w:eastAsia="en-IN"/>
              </w:rPr>
            </w:pPr>
            <w:r w:rsidRPr="00702CCA">
              <w:rPr>
                <w:rFonts w:ascii="Bookman Old Style" w:hAnsi="Bookman Old Style"/>
                <w:b/>
                <w:bCs/>
                <w:sz w:val="20"/>
                <w:lang w:eastAsia="en-IN"/>
              </w:rPr>
              <w:t>280.71</w:t>
            </w:r>
          </w:p>
        </w:tc>
      </w:tr>
      <w:tr w:rsidR="00381ACE" w:rsidRPr="00702CCA" w:rsidTr="00702CCA">
        <w:trPr>
          <w:trHeight w:val="430"/>
          <w:jc w:val="center"/>
        </w:trPr>
        <w:tc>
          <w:tcPr>
            <w:tcW w:w="4955" w:type="dxa"/>
            <w:tcBorders>
              <w:top w:val="nil"/>
              <w:left w:val="single" w:sz="4" w:space="0" w:color="auto"/>
              <w:bottom w:val="single" w:sz="4" w:space="0" w:color="auto"/>
              <w:right w:val="single" w:sz="4" w:space="0" w:color="auto"/>
            </w:tcBorders>
            <w:shd w:val="clear" w:color="auto" w:fill="auto"/>
            <w:vAlign w:val="center"/>
            <w:hideMark/>
          </w:tcPr>
          <w:p w:rsidR="00381ACE" w:rsidRPr="00702CCA" w:rsidRDefault="00381ACE" w:rsidP="00F56AC9">
            <w:pPr>
              <w:spacing w:after="0" w:line="240" w:lineRule="auto"/>
              <w:ind w:right="67"/>
              <w:rPr>
                <w:rFonts w:ascii="Bookman Old Style" w:hAnsi="Bookman Old Style"/>
                <w:sz w:val="20"/>
                <w:lang w:eastAsia="en-IN"/>
              </w:rPr>
            </w:pPr>
            <w:r w:rsidRPr="00702CCA">
              <w:rPr>
                <w:rFonts w:ascii="Bookman Old Style" w:hAnsi="Bookman Old Style"/>
                <w:sz w:val="20"/>
                <w:lang w:eastAsia="en-IN"/>
              </w:rPr>
              <w:t>Less: Depreciation Withdrawn from contributions /subsidies as per Ind AS 20</w:t>
            </w:r>
          </w:p>
        </w:tc>
        <w:tc>
          <w:tcPr>
            <w:tcW w:w="1442"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178.51</w:t>
            </w:r>
          </w:p>
        </w:tc>
        <w:tc>
          <w:tcPr>
            <w:tcW w:w="1345"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241.21</w:t>
            </w:r>
          </w:p>
        </w:tc>
        <w:tc>
          <w:tcPr>
            <w:tcW w:w="1469"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sz w:val="20"/>
                <w:lang w:eastAsia="en-IN"/>
              </w:rPr>
            </w:pPr>
            <w:r w:rsidRPr="00702CCA">
              <w:rPr>
                <w:rFonts w:ascii="Bookman Old Style" w:hAnsi="Bookman Old Style"/>
                <w:sz w:val="20"/>
                <w:lang w:eastAsia="en-IN"/>
              </w:rPr>
              <w:t>62.70</w:t>
            </w:r>
          </w:p>
        </w:tc>
      </w:tr>
      <w:tr w:rsidR="00381ACE" w:rsidRPr="00702CCA" w:rsidTr="00702CCA">
        <w:trPr>
          <w:trHeight w:val="324"/>
          <w:jc w:val="center"/>
        </w:trPr>
        <w:tc>
          <w:tcPr>
            <w:tcW w:w="4955" w:type="dxa"/>
            <w:tcBorders>
              <w:top w:val="nil"/>
              <w:left w:val="single" w:sz="4" w:space="0" w:color="auto"/>
              <w:bottom w:val="single" w:sz="4" w:space="0" w:color="auto"/>
              <w:right w:val="single" w:sz="4" w:space="0" w:color="auto"/>
            </w:tcBorders>
            <w:shd w:val="clear" w:color="auto" w:fill="auto"/>
            <w:vAlign w:val="center"/>
            <w:hideMark/>
          </w:tcPr>
          <w:p w:rsidR="00381ACE" w:rsidRPr="00702CCA" w:rsidRDefault="00381ACE" w:rsidP="00702CCA">
            <w:pPr>
              <w:spacing w:after="0" w:line="240" w:lineRule="auto"/>
              <w:ind w:right="67"/>
              <w:rPr>
                <w:rFonts w:ascii="Bookman Old Style" w:hAnsi="Bookman Old Style"/>
                <w:b/>
                <w:bCs/>
                <w:sz w:val="20"/>
                <w:lang w:eastAsia="en-IN"/>
              </w:rPr>
            </w:pPr>
            <w:r w:rsidRPr="00702CCA">
              <w:rPr>
                <w:rFonts w:ascii="Bookman Old Style" w:hAnsi="Bookman Old Style"/>
                <w:b/>
                <w:bCs/>
                <w:sz w:val="20"/>
                <w:lang w:eastAsia="en-IN"/>
              </w:rPr>
              <w:t>Depreciation for the year</w:t>
            </w:r>
          </w:p>
        </w:tc>
        <w:tc>
          <w:tcPr>
            <w:tcW w:w="1442"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b/>
                <w:bCs/>
                <w:sz w:val="20"/>
                <w:lang w:eastAsia="en-IN"/>
              </w:rPr>
            </w:pPr>
            <w:r w:rsidRPr="00702CCA">
              <w:rPr>
                <w:rFonts w:ascii="Bookman Old Style" w:hAnsi="Bookman Old Style"/>
                <w:b/>
                <w:bCs/>
                <w:sz w:val="20"/>
                <w:lang w:eastAsia="en-IN"/>
              </w:rPr>
              <w:t>535.52</w:t>
            </w:r>
          </w:p>
        </w:tc>
        <w:tc>
          <w:tcPr>
            <w:tcW w:w="1345"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b/>
                <w:bCs/>
                <w:sz w:val="20"/>
                <w:lang w:eastAsia="en-IN"/>
              </w:rPr>
            </w:pPr>
            <w:r w:rsidRPr="00702CCA">
              <w:rPr>
                <w:rFonts w:ascii="Bookman Old Style" w:hAnsi="Bookman Old Style"/>
                <w:b/>
                <w:bCs/>
                <w:sz w:val="20"/>
                <w:lang w:eastAsia="en-IN"/>
              </w:rPr>
              <w:t>753.53</w:t>
            </w:r>
          </w:p>
        </w:tc>
        <w:tc>
          <w:tcPr>
            <w:tcW w:w="1469" w:type="dxa"/>
            <w:tcBorders>
              <w:top w:val="nil"/>
              <w:left w:val="nil"/>
              <w:bottom w:val="single" w:sz="4" w:space="0" w:color="auto"/>
              <w:right w:val="single" w:sz="4" w:space="0" w:color="auto"/>
            </w:tcBorders>
            <w:shd w:val="clear" w:color="auto" w:fill="auto"/>
            <w:noWrap/>
            <w:vAlign w:val="center"/>
            <w:hideMark/>
          </w:tcPr>
          <w:p w:rsidR="00381ACE" w:rsidRPr="00702CCA" w:rsidRDefault="00381ACE" w:rsidP="00702CCA">
            <w:pPr>
              <w:spacing w:after="0" w:line="240" w:lineRule="auto"/>
              <w:ind w:right="67"/>
              <w:jc w:val="right"/>
              <w:rPr>
                <w:rFonts w:ascii="Bookman Old Style" w:hAnsi="Bookman Old Style"/>
                <w:b/>
                <w:bCs/>
                <w:sz w:val="20"/>
                <w:lang w:eastAsia="en-IN"/>
              </w:rPr>
            </w:pPr>
            <w:r w:rsidRPr="00702CCA">
              <w:rPr>
                <w:rFonts w:ascii="Bookman Old Style" w:hAnsi="Bookman Old Style"/>
                <w:b/>
                <w:bCs/>
                <w:sz w:val="20"/>
                <w:lang w:eastAsia="en-IN"/>
              </w:rPr>
              <w:t>218.01</w:t>
            </w:r>
          </w:p>
        </w:tc>
      </w:tr>
    </w:tbl>
    <w:p w:rsidR="00381ACE" w:rsidRPr="003863B7" w:rsidRDefault="00381ACE" w:rsidP="00717D3E">
      <w:pPr>
        <w:spacing w:after="0" w:line="360" w:lineRule="auto"/>
        <w:ind w:right="67"/>
        <w:jc w:val="both"/>
        <w:rPr>
          <w:rFonts w:ascii="Bookman Old Style" w:eastAsiaTheme="minorEastAsia" w:hAnsi="Bookman Old Style" w:cs="Arial"/>
          <w:color w:val="F2F2F2" w:themeColor="background1" w:themeShade="F2"/>
        </w:rPr>
      </w:pPr>
    </w:p>
    <w:p w:rsidR="00381ACE" w:rsidRPr="00092C21" w:rsidRDefault="00381ACE" w:rsidP="00092C21">
      <w:pPr>
        <w:spacing w:line="360" w:lineRule="auto"/>
        <w:ind w:right="67"/>
        <w:jc w:val="both"/>
        <w:rPr>
          <w:rFonts w:ascii="Bookman Old Style" w:eastAsiaTheme="minorEastAsia" w:hAnsi="Bookman Old Style" w:cs="Arial"/>
          <w:color w:val="000000" w:themeColor="text1"/>
        </w:rPr>
      </w:pPr>
      <w:r w:rsidRPr="00092C21">
        <w:rPr>
          <w:rFonts w:ascii="Bookman Old Style" w:eastAsiaTheme="minorEastAsia" w:hAnsi="Bookman Old Style" w:cs="Arial"/>
          <w:color w:val="000000" w:themeColor="text1"/>
        </w:rPr>
        <w:lastRenderedPageBreak/>
        <w:t>Ministry of Corporate Affairs (MCA) has issued Indian Accounting Standards (IND AS), which is applicable to BESCOM from FY-17 with comparative period of one year. In pursuance with Ind AS 20, Government Grants/subsidies received from the Government or other authorities towards capital expenditure as well as consumer’s contribution to capital works are treated initially under deferred income and taken to fixed assets based on commissioning of the assets and depreciation is charged in accordance with the class of assets it belongs.</w:t>
      </w:r>
    </w:p>
    <w:p w:rsidR="00381ACE" w:rsidRPr="00092C21" w:rsidRDefault="00381ACE" w:rsidP="00092C21">
      <w:pPr>
        <w:spacing w:line="360" w:lineRule="auto"/>
        <w:ind w:right="67"/>
        <w:jc w:val="both"/>
        <w:rPr>
          <w:rFonts w:ascii="Bookman Old Style" w:eastAsiaTheme="minorEastAsia" w:hAnsi="Bookman Old Style" w:cs="Arial"/>
          <w:color w:val="000000" w:themeColor="text1"/>
        </w:rPr>
      </w:pPr>
      <w:r w:rsidRPr="00092C21">
        <w:rPr>
          <w:rFonts w:ascii="Bookman Old Style" w:eastAsiaTheme="minorEastAsia" w:hAnsi="Bookman Old Style" w:cs="Arial"/>
          <w:color w:val="000000" w:themeColor="text1"/>
        </w:rPr>
        <w:t xml:space="preserve">The proportion equivalent to % of depreciation charged for plant and machinery/line and cables are reckoned as basis for arriving at depreciation write back against such quantum received over the year including current financial year under grants/subsidies/consumer contribution and the same is charged back as income and shown distinctively in depreciation schedule in the statement of Profit and Loss. </w:t>
      </w:r>
    </w:p>
    <w:p w:rsidR="00381ACE" w:rsidRPr="00092C21" w:rsidRDefault="00381ACE" w:rsidP="00092C21">
      <w:pPr>
        <w:spacing w:line="360" w:lineRule="auto"/>
        <w:ind w:right="67"/>
        <w:jc w:val="both"/>
        <w:rPr>
          <w:rFonts w:ascii="Bookman Old Style" w:eastAsiaTheme="minorEastAsia" w:hAnsi="Bookman Old Style" w:cs="Arial"/>
          <w:color w:val="000000" w:themeColor="text1"/>
        </w:rPr>
      </w:pPr>
      <w:r w:rsidRPr="00092C21">
        <w:rPr>
          <w:rFonts w:ascii="Bookman Old Style" w:eastAsiaTheme="minorEastAsia" w:hAnsi="Bookman Old Style" w:cs="Arial"/>
          <w:color w:val="000000" w:themeColor="text1"/>
        </w:rPr>
        <w:t>Depreciation amount of Rs. 994.74 Crs is worked out as per annual accounts for FY-20</w:t>
      </w:r>
      <w:r w:rsidR="00075663">
        <w:rPr>
          <w:rFonts w:ascii="Bookman Old Style" w:eastAsiaTheme="minorEastAsia" w:hAnsi="Bookman Old Style" w:cs="Arial"/>
        </w:rPr>
        <w:t xml:space="preserve">(awaiting </w:t>
      </w:r>
      <w:r w:rsidR="008F63EC">
        <w:rPr>
          <w:rFonts w:ascii="Bookman Old Style" w:eastAsiaTheme="minorEastAsia" w:hAnsi="Bookman Old Style" w:cs="Arial"/>
        </w:rPr>
        <w:t>B</w:t>
      </w:r>
      <w:r w:rsidR="00075663">
        <w:rPr>
          <w:rFonts w:ascii="Bookman Old Style" w:eastAsiaTheme="minorEastAsia" w:hAnsi="Bookman Old Style" w:cs="Arial"/>
        </w:rPr>
        <w:t>oard approval)</w:t>
      </w:r>
      <w:r w:rsidRPr="00092C21">
        <w:rPr>
          <w:rFonts w:ascii="Bookman Old Style" w:eastAsiaTheme="minorEastAsia" w:hAnsi="Bookman Old Style" w:cs="Arial"/>
          <w:color w:val="000000" w:themeColor="text1"/>
        </w:rPr>
        <w:t>. After deducting an amount of Rs. 241.21 Crs. as per Ind AS 20, the net depreciation works out to Rs. 753.53 Crs.</w:t>
      </w:r>
    </w:p>
    <w:p w:rsidR="00381ACE" w:rsidRPr="00092C21" w:rsidRDefault="00381ACE" w:rsidP="00092C21">
      <w:pPr>
        <w:spacing w:line="360" w:lineRule="auto"/>
        <w:ind w:right="67"/>
        <w:jc w:val="both"/>
        <w:rPr>
          <w:rFonts w:ascii="Bookman Old Style" w:eastAsiaTheme="minorEastAsia" w:hAnsi="Bookman Old Style" w:cs="Arial"/>
          <w:color w:val="000000" w:themeColor="text1"/>
        </w:rPr>
      </w:pPr>
      <w:r w:rsidRPr="00092C21">
        <w:rPr>
          <w:rFonts w:ascii="Bookman Old Style" w:eastAsiaTheme="minorEastAsia" w:hAnsi="Bookman Old Style" w:cs="Arial"/>
          <w:color w:val="000000" w:themeColor="text1"/>
        </w:rPr>
        <w:t>Commission is requested to true up the depreciation of Rs.753.53 Cr. as per actual.</w:t>
      </w:r>
    </w:p>
    <w:p w:rsidR="00381ACE" w:rsidRPr="00092C21" w:rsidRDefault="00381ACE" w:rsidP="00717D3E">
      <w:pPr>
        <w:spacing w:line="360" w:lineRule="auto"/>
        <w:ind w:right="67"/>
        <w:jc w:val="both"/>
        <w:rPr>
          <w:rFonts w:ascii="Bookman Old Style" w:eastAsiaTheme="minorEastAsia" w:hAnsi="Bookman Old Style" w:cs="Arial"/>
          <w:b/>
          <w:color w:val="000000" w:themeColor="text1"/>
          <w:sz w:val="28"/>
        </w:rPr>
      </w:pPr>
      <w:r w:rsidRPr="00092C21">
        <w:rPr>
          <w:rFonts w:ascii="Bookman Old Style" w:eastAsiaTheme="minorEastAsia" w:hAnsi="Bookman Old Style" w:cs="Arial"/>
          <w:b/>
          <w:color w:val="000000" w:themeColor="text1"/>
          <w:sz w:val="28"/>
        </w:rPr>
        <w:t>Interest and Finance Charges:</w:t>
      </w:r>
    </w:p>
    <w:p w:rsidR="00381ACE" w:rsidRPr="00092C21" w:rsidRDefault="00381ACE" w:rsidP="00092C21">
      <w:pPr>
        <w:spacing w:line="360" w:lineRule="auto"/>
        <w:ind w:right="67"/>
        <w:jc w:val="both"/>
        <w:rPr>
          <w:rFonts w:ascii="Bookman Old Style" w:eastAsiaTheme="minorEastAsia" w:hAnsi="Bookman Old Style" w:cs="Arial"/>
          <w:color w:val="000000" w:themeColor="text1"/>
        </w:rPr>
      </w:pPr>
      <w:r w:rsidRPr="00092C21">
        <w:rPr>
          <w:rFonts w:ascii="Bookman Old Style" w:eastAsiaTheme="minorEastAsia" w:hAnsi="Bookman Old Style" w:cs="Arial"/>
          <w:color w:val="000000" w:themeColor="text1"/>
        </w:rPr>
        <w:t>As per MYT regulations, Commission is allowing actual interest incurred on the loans borrowed towards creation of Capital Assets, interest paid towards consumer deposit and interest on working capital on normative basis.</w:t>
      </w:r>
    </w:p>
    <w:p w:rsidR="00381ACE" w:rsidRPr="00092C21" w:rsidRDefault="00381ACE" w:rsidP="00092C21">
      <w:pPr>
        <w:spacing w:line="360" w:lineRule="auto"/>
        <w:ind w:right="67"/>
        <w:jc w:val="both"/>
        <w:rPr>
          <w:rFonts w:ascii="Bookman Old Style" w:eastAsiaTheme="minorEastAsia" w:hAnsi="Bookman Old Style" w:cs="Arial"/>
          <w:color w:val="000000" w:themeColor="text1"/>
        </w:rPr>
      </w:pPr>
      <w:r w:rsidRPr="00092C21">
        <w:rPr>
          <w:rFonts w:ascii="Bookman Old Style" w:eastAsiaTheme="minorEastAsia" w:hAnsi="Bookman Old Style" w:cs="Arial"/>
          <w:color w:val="000000" w:themeColor="text1"/>
        </w:rPr>
        <w:t>Breakups of interest and finance charges are as under:</w:t>
      </w:r>
    </w:p>
    <w:p w:rsidR="00381ACE" w:rsidRPr="003863B7" w:rsidRDefault="00381ACE" w:rsidP="00717D3E">
      <w:pPr>
        <w:spacing w:line="360" w:lineRule="auto"/>
        <w:ind w:right="67"/>
        <w:jc w:val="both"/>
        <w:rPr>
          <w:rFonts w:ascii="Bookman Old Style" w:eastAsiaTheme="minorEastAsia" w:hAnsi="Bookman Old Style" w:cs="Arial"/>
          <w:b/>
          <w:sz w:val="28"/>
          <w:szCs w:val="24"/>
        </w:rPr>
      </w:pPr>
      <w:r w:rsidRPr="003863B7">
        <w:rPr>
          <w:rFonts w:ascii="Bookman Old Style" w:eastAsiaTheme="minorEastAsia" w:hAnsi="Bookman Old Style" w:cs="Arial"/>
          <w:b/>
          <w:sz w:val="28"/>
          <w:szCs w:val="24"/>
        </w:rPr>
        <w:t>Long term loan</w:t>
      </w:r>
      <w:r w:rsidR="000A1A44">
        <w:rPr>
          <w:rFonts w:ascii="Bookman Old Style" w:eastAsiaTheme="minorEastAsia" w:hAnsi="Bookman Old Style" w:cs="Arial"/>
          <w:b/>
          <w:sz w:val="28"/>
          <w:szCs w:val="24"/>
        </w:rPr>
        <w:t>:</w:t>
      </w:r>
    </w:p>
    <w:p w:rsidR="00381ACE" w:rsidRPr="003863B7" w:rsidRDefault="00381ACE" w:rsidP="00536C3E">
      <w:pPr>
        <w:pStyle w:val="BodyText"/>
        <w:spacing w:line="360" w:lineRule="auto"/>
        <w:ind w:right="67"/>
        <w:jc w:val="both"/>
        <w:rPr>
          <w:rFonts w:ascii="Bookman Old Style" w:eastAsiaTheme="minorEastAsia" w:hAnsi="Bookman Old Style"/>
        </w:rPr>
      </w:pPr>
      <w:r w:rsidRPr="003863B7">
        <w:rPr>
          <w:rFonts w:ascii="Bookman Old Style" w:eastAsiaTheme="minorEastAsia" w:hAnsi="Bookman Old Style"/>
        </w:rPr>
        <w:t>The interest expenditure on account of long-term loans depends on the outstanding loan, repayments, and prevailing interest rates on the outstanding loans. Further, the projected capital expenditure and the funding of the same also have a major bearing on the long-term interest expenditure.</w:t>
      </w:r>
    </w:p>
    <w:p w:rsidR="00381ACE" w:rsidRDefault="00381ACE" w:rsidP="00536C3E">
      <w:pPr>
        <w:pStyle w:val="BodyText"/>
        <w:spacing w:line="360" w:lineRule="auto"/>
        <w:ind w:right="67"/>
        <w:jc w:val="both"/>
        <w:rPr>
          <w:rFonts w:ascii="Bookman Old Style" w:eastAsiaTheme="minorEastAsia" w:hAnsi="Bookman Old Style"/>
        </w:rPr>
      </w:pPr>
      <w:r w:rsidRPr="003863B7">
        <w:rPr>
          <w:rFonts w:ascii="Bookman Old Style" w:eastAsiaTheme="minorEastAsia" w:hAnsi="Bookman Old Style"/>
        </w:rPr>
        <w:t>As per the final Accounts, an amount of Rs.</w:t>
      </w:r>
      <w:r w:rsidRPr="003863B7">
        <w:rPr>
          <w:rFonts w:ascii="Times New Roman" w:hAnsi="Times New Roman"/>
          <w:b/>
          <w:bCs/>
          <w:sz w:val="28"/>
          <w:szCs w:val="28"/>
          <w:lang w:val="en-IN" w:eastAsia="en-IN"/>
        </w:rPr>
        <w:t xml:space="preserve"> </w:t>
      </w:r>
      <w:r>
        <w:rPr>
          <w:rFonts w:ascii="Bookman Old Style" w:hAnsi="Bookman Old Style"/>
          <w:b/>
          <w:bCs/>
          <w:sz w:val="24"/>
          <w:lang w:val="en-IN" w:eastAsia="en-IN"/>
        </w:rPr>
        <w:t>5493.62</w:t>
      </w:r>
      <w:r w:rsidRPr="003863B7">
        <w:rPr>
          <w:rFonts w:ascii="Times New Roman" w:hAnsi="Times New Roman"/>
          <w:b/>
          <w:bCs/>
          <w:sz w:val="28"/>
          <w:szCs w:val="28"/>
          <w:lang w:val="en-IN" w:eastAsia="en-IN"/>
        </w:rPr>
        <w:t xml:space="preserve"> </w:t>
      </w:r>
      <w:r w:rsidRPr="003863B7">
        <w:rPr>
          <w:rFonts w:ascii="Bookman Old Style" w:eastAsiaTheme="minorEastAsia" w:hAnsi="Bookman Old Style"/>
        </w:rPr>
        <w:t>Crore of long term borrowings are existing as at the end of FY-</w:t>
      </w:r>
      <w:r>
        <w:rPr>
          <w:rFonts w:ascii="Bookman Old Style" w:eastAsiaTheme="minorEastAsia" w:hAnsi="Bookman Old Style"/>
        </w:rPr>
        <w:t>20</w:t>
      </w:r>
      <w:r w:rsidR="00947D46">
        <w:rPr>
          <w:rFonts w:ascii="Bookman Old Style" w:eastAsiaTheme="minorEastAsia" w:hAnsi="Bookman Old Style"/>
        </w:rPr>
        <w:t>.</w:t>
      </w:r>
      <w:r w:rsidRPr="003863B7">
        <w:rPr>
          <w:rFonts w:ascii="Bookman Old Style" w:eastAsiaTheme="minorEastAsia" w:hAnsi="Bookman Old Style"/>
        </w:rPr>
        <w:t xml:space="preserve"> Details of loans outstanding and interest paid are shown below:</w:t>
      </w:r>
    </w:p>
    <w:p w:rsidR="00F617C4" w:rsidRDefault="00F617C4" w:rsidP="00536C3E">
      <w:pPr>
        <w:pStyle w:val="BodyText"/>
        <w:spacing w:line="360" w:lineRule="auto"/>
        <w:ind w:right="67"/>
        <w:jc w:val="both"/>
        <w:rPr>
          <w:rFonts w:ascii="Bookman Old Style" w:eastAsiaTheme="minorEastAsia" w:hAnsi="Bookman Old Style"/>
        </w:rPr>
      </w:pPr>
    </w:p>
    <w:p w:rsidR="00F617C4" w:rsidRDefault="00F617C4" w:rsidP="00536C3E">
      <w:pPr>
        <w:pStyle w:val="BodyText"/>
        <w:spacing w:line="360" w:lineRule="auto"/>
        <w:ind w:right="67"/>
        <w:jc w:val="both"/>
        <w:rPr>
          <w:rFonts w:ascii="Bookman Old Style" w:eastAsiaTheme="minorEastAsia" w:hAnsi="Bookman Old Style"/>
        </w:rPr>
      </w:pPr>
    </w:p>
    <w:p w:rsidR="00381ACE" w:rsidRPr="006537C6" w:rsidRDefault="00381ACE" w:rsidP="004D2832">
      <w:pPr>
        <w:spacing w:line="240" w:lineRule="auto"/>
        <w:ind w:right="67"/>
        <w:jc w:val="center"/>
        <w:rPr>
          <w:rFonts w:ascii="Bookman Old Style" w:eastAsiaTheme="minorEastAsia" w:hAnsi="Bookman Old Style" w:cs="Arial"/>
          <w:b/>
          <w:sz w:val="18"/>
          <w:szCs w:val="20"/>
        </w:rPr>
      </w:pPr>
      <w:r w:rsidRPr="006537C6">
        <w:rPr>
          <w:rFonts w:ascii="Bookman Old Style" w:eastAsiaTheme="minorEastAsia" w:hAnsi="Bookman Old Style" w:cs="Arial"/>
          <w:b/>
          <w:sz w:val="18"/>
          <w:szCs w:val="26"/>
        </w:rPr>
        <w:lastRenderedPageBreak/>
        <w:t xml:space="preserve">                          </w:t>
      </w:r>
      <w:r w:rsidR="004D2832" w:rsidRPr="006537C6">
        <w:rPr>
          <w:rFonts w:ascii="Bookman Old Style" w:eastAsiaTheme="minorEastAsia" w:hAnsi="Bookman Old Style" w:cs="Arial"/>
          <w:b/>
          <w:sz w:val="18"/>
          <w:szCs w:val="26"/>
        </w:rPr>
        <w:t xml:space="preserve">                                  </w:t>
      </w:r>
      <w:r w:rsidRPr="006537C6">
        <w:rPr>
          <w:rFonts w:ascii="Bookman Old Style" w:eastAsiaTheme="minorEastAsia" w:hAnsi="Bookman Old Style" w:cs="Arial"/>
          <w:b/>
          <w:sz w:val="18"/>
          <w:szCs w:val="26"/>
        </w:rPr>
        <w:t xml:space="preserve">   </w:t>
      </w:r>
      <w:r w:rsidR="004D2832" w:rsidRPr="006537C6">
        <w:rPr>
          <w:rFonts w:ascii="Bookman Old Style" w:hAnsi="Bookman Old Style" w:cs="Calibri"/>
          <w:b/>
          <w:bCs/>
          <w:sz w:val="18"/>
          <w:lang w:eastAsia="en-IN"/>
        </w:rPr>
        <w:t>Table 3.</w:t>
      </w:r>
      <w:r w:rsidR="00E139D2">
        <w:rPr>
          <w:rFonts w:ascii="Bookman Old Style" w:hAnsi="Bookman Old Style" w:cs="Calibri"/>
          <w:b/>
          <w:bCs/>
          <w:sz w:val="18"/>
          <w:szCs w:val="20"/>
          <w:lang w:eastAsia="en-IN"/>
        </w:rPr>
        <w:t>3</w:t>
      </w:r>
      <w:r w:rsidR="00316EA8">
        <w:rPr>
          <w:rFonts w:ascii="Bookman Old Style" w:hAnsi="Bookman Old Style" w:cs="Calibri"/>
          <w:b/>
          <w:bCs/>
          <w:sz w:val="18"/>
          <w:szCs w:val="20"/>
          <w:lang w:eastAsia="en-IN"/>
        </w:rPr>
        <w:t>1</w:t>
      </w:r>
      <w:r w:rsidR="004D2832" w:rsidRPr="006537C6">
        <w:rPr>
          <w:rFonts w:ascii="Bookman Old Style" w:eastAsiaTheme="minorEastAsia" w:hAnsi="Bookman Old Style" w:cs="Arial"/>
          <w:b/>
          <w:sz w:val="18"/>
          <w:szCs w:val="20"/>
        </w:rPr>
        <w:t xml:space="preserve">                                  Amount in Crs.</w:t>
      </w:r>
    </w:p>
    <w:tbl>
      <w:tblPr>
        <w:tblW w:w="10565" w:type="dxa"/>
        <w:jc w:val="center"/>
        <w:tblInd w:w="-318" w:type="dxa"/>
        <w:tblLook w:val="04A0" w:firstRow="1" w:lastRow="0" w:firstColumn="1" w:lastColumn="0" w:noHBand="0" w:noVBand="1"/>
      </w:tblPr>
      <w:tblGrid>
        <w:gridCol w:w="723"/>
        <w:gridCol w:w="1733"/>
        <w:gridCol w:w="1337"/>
        <w:gridCol w:w="1337"/>
        <w:gridCol w:w="1337"/>
        <w:gridCol w:w="1427"/>
        <w:gridCol w:w="1335"/>
        <w:gridCol w:w="1336"/>
      </w:tblGrid>
      <w:tr w:rsidR="00DF0399" w:rsidRPr="005E1072" w:rsidTr="00702CCA">
        <w:trPr>
          <w:trHeight w:val="265"/>
          <w:jc w:val="center"/>
        </w:trPr>
        <w:tc>
          <w:tcPr>
            <w:tcW w:w="72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F0399" w:rsidRPr="005E1072" w:rsidRDefault="00DF0399" w:rsidP="00F56AC9">
            <w:pPr>
              <w:spacing w:after="0" w:line="276" w:lineRule="auto"/>
              <w:jc w:val="center"/>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xml:space="preserve">Sl. No </w:t>
            </w:r>
          </w:p>
        </w:tc>
        <w:tc>
          <w:tcPr>
            <w:tcW w:w="173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F0399" w:rsidRPr="005E1072" w:rsidRDefault="00DF0399" w:rsidP="00F56AC9">
            <w:pPr>
              <w:spacing w:after="0" w:line="276" w:lineRule="auto"/>
              <w:jc w:val="center"/>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xml:space="preserve"> Financial institutions/ Banks </w:t>
            </w:r>
          </w:p>
        </w:tc>
        <w:tc>
          <w:tcPr>
            <w:tcW w:w="8109" w:type="dxa"/>
            <w:gridSpan w:val="6"/>
            <w:tcBorders>
              <w:top w:val="single" w:sz="8" w:space="0" w:color="auto"/>
              <w:left w:val="nil"/>
              <w:bottom w:val="single" w:sz="8" w:space="0" w:color="auto"/>
              <w:right w:val="single" w:sz="8" w:space="0" w:color="000000"/>
            </w:tcBorders>
            <w:shd w:val="clear" w:color="000000" w:fill="FFFFFF"/>
            <w:vAlign w:val="center"/>
            <w:hideMark/>
          </w:tcPr>
          <w:p w:rsidR="00DF0399" w:rsidRPr="005E1072" w:rsidRDefault="00DF0399" w:rsidP="00F56AC9">
            <w:pPr>
              <w:spacing w:after="0" w:line="276" w:lineRule="auto"/>
              <w:jc w:val="center"/>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FY-20</w:t>
            </w:r>
          </w:p>
        </w:tc>
      </w:tr>
      <w:tr w:rsidR="00DF0399" w:rsidRPr="005E1072" w:rsidTr="00702CCA">
        <w:trPr>
          <w:trHeight w:val="657"/>
          <w:jc w:val="center"/>
        </w:trPr>
        <w:tc>
          <w:tcPr>
            <w:tcW w:w="723" w:type="dxa"/>
            <w:vMerge/>
            <w:tcBorders>
              <w:top w:val="single" w:sz="8" w:space="0" w:color="auto"/>
              <w:left w:val="single" w:sz="8" w:space="0" w:color="auto"/>
              <w:bottom w:val="single" w:sz="8" w:space="0" w:color="000000"/>
              <w:right w:val="single" w:sz="8" w:space="0" w:color="auto"/>
            </w:tcBorders>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p>
        </w:tc>
        <w:tc>
          <w:tcPr>
            <w:tcW w:w="1733" w:type="dxa"/>
            <w:vMerge/>
            <w:tcBorders>
              <w:top w:val="single" w:sz="8" w:space="0" w:color="auto"/>
              <w:left w:val="single" w:sz="8" w:space="0" w:color="auto"/>
              <w:bottom w:val="single" w:sz="8" w:space="0" w:color="000000"/>
              <w:right w:val="single" w:sz="8" w:space="0" w:color="auto"/>
            </w:tcBorders>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center"/>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xml:space="preserve">Opening Balance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center"/>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xml:space="preserve"> New loan addition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center"/>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xml:space="preserve"> Total loan at the end of the year </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center"/>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xml:space="preserve">Repayment of principal </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center"/>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xml:space="preserve">Interest for the year </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center"/>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xml:space="preserve"> Closing Bal </w:t>
            </w:r>
          </w:p>
        </w:tc>
      </w:tr>
      <w:tr w:rsidR="00DF0399" w:rsidRPr="005E1072" w:rsidTr="00702CCA">
        <w:trPr>
          <w:trHeight w:val="265"/>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Secured Loans</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r>
      <w:tr w:rsidR="00DF0399" w:rsidRPr="005E1072" w:rsidTr="00702CCA">
        <w:trPr>
          <w:trHeight w:val="442"/>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Loans from REC (DTC metering)</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107.73</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107.73</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15.39</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13.43</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92.34</w:t>
            </w:r>
          </w:p>
        </w:tc>
      </w:tr>
      <w:tr w:rsidR="00DF0399" w:rsidRPr="005E1072" w:rsidTr="00702CCA">
        <w:trPr>
          <w:trHeight w:val="442"/>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Loans from REC (NJY Phase-2)</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179.31</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24.22</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203.53</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31.67</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22.41</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171.86</w:t>
            </w:r>
          </w:p>
        </w:tc>
      </w:tr>
      <w:tr w:rsidR="00DF0399" w:rsidRPr="005E1072" w:rsidTr="00702CCA">
        <w:trPr>
          <w:trHeight w:val="442"/>
          <w:jc w:val="center"/>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3</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 from REC APDRP (10 Towns)</w:t>
            </w:r>
          </w:p>
        </w:tc>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0.17</w:t>
            </w:r>
          </w:p>
        </w:tc>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0.17</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0.17</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0.07</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xml:space="preserve">                   -   </w:t>
            </w:r>
          </w:p>
        </w:tc>
      </w:tr>
      <w:tr w:rsidR="00DF0399" w:rsidRPr="005E1072" w:rsidTr="00702CCA">
        <w:trPr>
          <w:trHeight w:val="442"/>
          <w:jc w:val="center"/>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4</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 from PFC-RAPDRP (Part</w:t>
            </w:r>
            <w:r w:rsidR="00B36DDF" w:rsidRPr="005E1072">
              <w:rPr>
                <w:rFonts w:ascii="Bookman Old Style" w:eastAsia="Times New Roman" w:hAnsi="Bookman Old Style" w:cs="Calibri"/>
                <w:b/>
                <w:bCs/>
                <w:color w:val="000000"/>
                <w:sz w:val="18"/>
                <w:szCs w:val="20"/>
                <w:lang w:eastAsia="en-IN"/>
              </w:rPr>
              <w:t>-</w:t>
            </w:r>
            <w:r w:rsidRPr="005E1072">
              <w:rPr>
                <w:rFonts w:ascii="Bookman Old Style" w:eastAsia="Times New Roman" w:hAnsi="Bookman Old Style" w:cs="Calibri"/>
                <w:b/>
                <w:bCs/>
                <w:color w:val="000000"/>
                <w:sz w:val="18"/>
                <w:szCs w:val="20"/>
                <w:lang w:eastAsia="en-IN"/>
              </w:rPr>
              <w:t>B)</w:t>
            </w:r>
          </w:p>
        </w:tc>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58.73</w:t>
            </w:r>
          </w:p>
        </w:tc>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58.73</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58.73</w:t>
            </w:r>
          </w:p>
        </w:tc>
      </w:tr>
      <w:tr w:rsidR="00DF0399" w:rsidRPr="005E1072" w:rsidTr="00702CCA">
        <w:trPr>
          <w:trHeight w:val="657"/>
          <w:jc w:val="center"/>
        </w:trPr>
        <w:tc>
          <w:tcPr>
            <w:tcW w:w="723"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5</w:t>
            </w:r>
          </w:p>
        </w:tc>
        <w:tc>
          <w:tcPr>
            <w:tcW w:w="1733" w:type="dxa"/>
            <w:tcBorders>
              <w:top w:val="single" w:sz="4" w:space="0" w:color="auto"/>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 from PFC-RAPDRP (Part</w:t>
            </w:r>
            <w:r w:rsidR="00B36DDF" w:rsidRPr="005E1072">
              <w:rPr>
                <w:rFonts w:ascii="Bookman Old Style" w:eastAsia="Times New Roman" w:hAnsi="Bookman Old Style" w:cs="Calibri"/>
                <w:b/>
                <w:bCs/>
                <w:color w:val="000000"/>
                <w:sz w:val="18"/>
                <w:szCs w:val="20"/>
                <w:lang w:eastAsia="en-IN"/>
              </w:rPr>
              <w:t>-</w:t>
            </w:r>
            <w:r w:rsidRPr="005E1072">
              <w:rPr>
                <w:rFonts w:ascii="Bookman Old Style" w:eastAsia="Times New Roman" w:hAnsi="Bookman Old Style" w:cs="Calibri"/>
                <w:b/>
                <w:bCs/>
                <w:color w:val="000000"/>
                <w:sz w:val="18"/>
                <w:szCs w:val="20"/>
                <w:lang w:eastAsia="en-IN"/>
              </w:rPr>
              <w:t>B) (counter funding)</w:t>
            </w:r>
          </w:p>
        </w:tc>
        <w:tc>
          <w:tcPr>
            <w:tcW w:w="1337" w:type="dxa"/>
            <w:tcBorders>
              <w:top w:val="single" w:sz="4" w:space="0" w:color="auto"/>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125.83</w:t>
            </w:r>
          </w:p>
        </w:tc>
        <w:tc>
          <w:tcPr>
            <w:tcW w:w="1337" w:type="dxa"/>
            <w:tcBorders>
              <w:top w:val="single" w:sz="4" w:space="0" w:color="auto"/>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single" w:sz="4" w:space="0" w:color="auto"/>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125.83</w:t>
            </w:r>
          </w:p>
        </w:tc>
        <w:tc>
          <w:tcPr>
            <w:tcW w:w="1427" w:type="dxa"/>
            <w:tcBorders>
              <w:top w:val="single" w:sz="4" w:space="0" w:color="auto"/>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11.99</w:t>
            </w:r>
          </w:p>
        </w:tc>
        <w:tc>
          <w:tcPr>
            <w:tcW w:w="1335" w:type="dxa"/>
            <w:tcBorders>
              <w:top w:val="single" w:sz="4" w:space="0" w:color="auto"/>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13.60</w:t>
            </w:r>
          </w:p>
        </w:tc>
        <w:tc>
          <w:tcPr>
            <w:tcW w:w="1336" w:type="dxa"/>
            <w:tcBorders>
              <w:top w:val="single" w:sz="4" w:space="0" w:color="auto"/>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113.84</w:t>
            </w:r>
          </w:p>
        </w:tc>
      </w:tr>
      <w:tr w:rsidR="00DF0399" w:rsidRPr="005E1072" w:rsidTr="00702CCA">
        <w:trPr>
          <w:trHeight w:val="265"/>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6</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REC-HVDS</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169.35</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13.21</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182.56</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22.81</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18.55</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159.75</w:t>
            </w:r>
          </w:p>
        </w:tc>
      </w:tr>
      <w:tr w:rsidR="00DF0399" w:rsidRPr="005E1072" w:rsidTr="00702CCA">
        <w:trPr>
          <w:trHeight w:val="265"/>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7</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REC_UAIP</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190.43</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11.80</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202.23</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25.28</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21.62</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176.95</w:t>
            </w:r>
          </w:p>
        </w:tc>
      </w:tr>
      <w:tr w:rsidR="00DF0399" w:rsidRPr="005E1072" w:rsidTr="00702CCA">
        <w:trPr>
          <w:trHeight w:val="442"/>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8</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REC-General Capex</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259.11</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259.11</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32.38</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28.91</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226.73</w:t>
            </w:r>
          </w:p>
        </w:tc>
      </w:tr>
      <w:tr w:rsidR="00DF0399" w:rsidRPr="005E1072" w:rsidTr="00702CCA">
        <w:trPr>
          <w:trHeight w:val="265"/>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9</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REC-Static meters</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95.24</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95.24</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10.58</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11.22</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84.66</w:t>
            </w:r>
          </w:p>
        </w:tc>
      </w:tr>
      <w:tr w:rsidR="00DF0399" w:rsidRPr="005E1072" w:rsidTr="00702CCA">
        <w:trPr>
          <w:trHeight w:val="442"/>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10</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REC-RGGVY-12th Plan</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1.14</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1.98</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3.12</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0.21</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0.31</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2.91</w:t>
            </w:r>
          </w:p>
        </w:tc>
      </w:tr>
      <w:tr w:rsidR="00DF0399" w:rsidRPr="005E1072" w:rsidTr="00702CCA">
        <w:trPr>
          <w:trHeight w:val="265"/>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11</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REC-NJY Phase-3</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640.35</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6.49</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646.84</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0.66</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72.68</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646.18</w:t>
            </w:r>
          </w:p>
        </w:tc>
      </w:tr>
      <w:tr w:rsidR="00DF0399" w:rsidRPr="005E1072" w:rsidTr="00702CCA">
        <w:trPr>
          <w:trHeight w:val="265"/>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12</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REC_HVDS-Phase2</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151.39</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151.39</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16.26</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151.39</w:t>
            </w:r>
          </w:p>
        </w:tc>
      </w:tr>
      <w:tr w:rsidR="00DF0399" w:rsidRPr="005E1072" w:rsidTr="00702CCA">
        <w:trPr>
          <w:trHeight w:val="265"/>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13</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REC UNIP</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299.46</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447.58</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747.04</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60.00</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747.04</w:t>
            </w:r>
          </w:p>
        </w:tc>
      </w:tr>
      <w:tr w:rsidR="00DF0399" w:rsidRPr="005E1072" w:rsidTr="00702CCA">
        <w:trPr>
          <w:trHeight w:val="265"/>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14</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REC DDUGJY</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38.44</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32.16</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70.60</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5.78</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70.60</w:t>
            </w:r>
          </w:p>
        </w:tc>
      </w:tr>
      <w:tr w:rsidR="00DF0399" w:rsidRPr="005E1072" w:rsidTr="00702CCA">
        <w:trPr>
          <w:trHeight w:val="265"/>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15</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REC IPDS</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36.77</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100.63</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137.40</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9.11</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137.40</w:t>
            </w:r>
          </w:p>
        </w:tc>
      </w:tr>
      <w:tr w:rsidR="00DF0399" w:rsidRPr="005E1072" w:rsidTr="00702CCA">
        <w:trPr>
          <w:trHeight w:val="657"/>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16</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Loans from Commercial Bank-SBI</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528.40</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87.78</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616.18</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68.48</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54.41</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547.70</w:t>
            </w:r>
          </w:p>
        </w:tc>
      </w:tr>
      <w:tr w:rsidR="00DF0399" w:rsidRPr="005E1072" w:rsidTr="00702CCA">
        <w:trPr>
          <w:trHeight w:val="657"/>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17</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 from Commercial Bank-BOI</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xml:space="preserve">               -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xml:space="preserve">               -   </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xml:space="preserve">                  -   </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1.58</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xml:space="preserve">                   -   </w:t>
            </w:r>
          </w:p>
        </w:tc>
      </w:tr>
      <w:tr w:rsidR="00DF0399" w:rsidRPr="005E1072" w:rsidTr="00702CCA">
        <w:trPr>
          <w:trHeight w:val="657"/>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18</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 from commercial bank-Canara</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899.67</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184.76</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1,084.4</w:t>
            </w:r>
            <w:r w:rsidR="00E51053">
              <w:rPr>
                <w:rFonts w:ascii="Bookman Old Style" w:eastAsia="Times New Roman" w:hAnsi="Bookman Old Style" w:cs="Calibri"/>
                <w:color w:val="000000"/>
                <w:sz w:val="18"/>
                <w:szCs w:val="20"/>
                <w:lang w:eastAsia="en-IN"/>
              </w:rPr>
              <w:t>3</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134.82</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90.14</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949.6</w:t>
            </w:r>
            <w:r w:rsidR="00E51053">
              <w:rPr>
                <w:rFonts w:ascii="Bookman Old Style" w:eastAsia="Times New Roman" w:hAnsi="Bookman Old Style" w:cs="Calibri"/>
                <w:color w:val="000000"/>
                <w:sz w:val="18"/>
                <w:szCs w:val="20"/>
                <w:lang w:eastAsia="en-IN"/>
              </w:rPr>
              <w:t>1</w:t>
            </w:r>
          </w:p>
        </w:tc>
      </w:tr>
      <w:tr w:rsidR="00DF0399" w:rsidRPr="005E1072" w:rsidTr="00702CCA">
        <w:trPr>
          <w:trHeight w:val="871"/>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19</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xml:space="preserve">Loan from commercial bank- Bank of Maharashtra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76.64</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284.11</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360.75</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78.11</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23.66</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282.64</w:t>
            </w:r>
          </w:p>
        </w:tc>
      </w:tr>
      <w:tr w:rsidR="00DF0399" w:rsidRPr="005E1072" w:rsidTr="00702CCA">
        <w:trPr>
          <w:trHeight w:val="657"/>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20</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 from Commercial Bank-SBM</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xml:space="preserve">               -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xml:space="preserve">               -   </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xml:space="preserve">                   -   </w:t>
            </w:r>
          </w:p>
        </w:tc>
      </w:tr>
      <w:tr w:rsidR="00DF0399" w:rsidRPr="005E1072" w:rsidTr="00702CCA">
        <w:trPr>
          <w:trHeight w:val="657"/>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lastRenderedPageBreak/>
              <w:t>21</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 from Commercial Bank-Bank of Baroda</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76.17</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67.58</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143.75</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10.08</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10.87</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133.67</w:t>
            </w:r>
          </w:p>
        </w:tc>
      </w:tr>
      <w:tr w:rsidR="00DF0399" w:rsidRPr="005E1072" w:rsidTr="00702CCA">
        <w:trPr>
          <w:trHeight w:val="657"/>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22</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 from commercial bank-Vijaya Bank</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0.00</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0.00</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0.00</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0.00</w:t>
            </w:r>
          </w:p>
        </w:tc>
      </w:tr>
      <w:tr w:rsidR="00DF0399" w:rsidRPr="005E1072" w:rsidTr="00702CCA">
        <w:trPr>
          <w:trHeight w:val="265"/>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3934.32</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1262.3</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5196.62</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442.63</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474.61</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4753.99</w:t>
            </w:r>
          </w:p>
        </w:tc>
      </w:tr>
      <w:tr w:rsidR="00DF0399" w:rsidRPr="005E1072" w:rsidTr="00702CCA">
        <w:trPr>
          <w:trHeight w:val="442"/>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UNSECURED LOANS</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w:t>
            </w:r>
          </w:p>
        </w:tc>
      </w:tr>
      <w:tr w:rsidR="00DF0399" w:rsidRPr="005E1072" w:rsidTr="00702CCA">
        <w:trPr>
          <w:trHeight w:val="442"/>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 from GoK-PMGY</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0.22</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0.22</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0.11</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0.04</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0.11</w:t>
            </w:r>
          </w:p>
        </w:tc>
      </w:tr>
      <w:tr w:rsidR="00DF0399" w:rsidRPr="005E1072" w:rsidTr="00702CCA">
        <w:trPr>
          <w:trHeight w:val="442"/>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 from  GoK-APDRP</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12.51</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12.51</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4.17</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1.81</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8.34</w:t>
            </w:r>
          </w:p>
        </w:tc>
      </w:tr>
      <w:tr w:rsidR="00DF0399" w:rsidRPr="005E1072" w:rsidTr="00702CCA">
        <w:trPr>
          <w:trHeight w:val="442"/>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3</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 from  GoK-Int free</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0.94</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0.94</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0.94</w:t>
            </w:r>
          </w:p>
        </w:tc>
      </w:tr>
      <w:tr w:rsidR="00DF0399" w:rsidRPr="005E1072" w:rsidTr="00702CCA">
        <w:trPr>
          <w:trHeight w:val="442"/>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4</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 from  GoK-RGGY</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4.90</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4.90</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3.96</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0.41</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0.94</w:t>
            </w:r>
          </w:p>
        </w:tc>
      </w:tr>
      <w:tr w:rsidR="00DF0399" w:rsidRPr="005E1072" w:rsidTr="00702CCA">
        <w:trPr>
          <w:trHeight w:val="442"/>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5</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Loan from GoK-JICA</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403.29</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403.29</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174.00</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12.41</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229.29</w:t>
            </w:r>
          </w:p>
        </w:tc>
      </w:tr>
      <w:tr w:rsidR="00DF0399" w:rsidRPr="005E1072" w:rsidTr="00702CCA">
        <w:trPr>
          <w:trHeight w:val="657"/>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6</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GOK interest free loan towards KPC dues</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500.00</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500.00</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500.00</w:t>
            </w:r>
          </w:p>
        </w:tc>
      </w:tr>
      <w:tr w:rsidR="00DF0399" w:rsidRPr="005E1072" w:rsidTr="00702CCA">
        <w:trPr>
          <w:trHeight w:val="442"/>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421.86</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xml:space="preserve">                     -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921.86</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182.24</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14.67</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739.62</w:t>
            </w:r>
          </w:p>
        </w:tc>
      </w:tr>
      <w:tr w:rsidR="00DF0399" w:rsidRPr="005E1072" w:rsidTr="00702CCA">
        <w:trPr>
          <w:trHeight w:val="442"/>
          <w:jc w:val="center"/>
        </w:trPr>
        <w:tc>
          <w:tcPr>
            <w:tcW w:w="723" w:type="dxa"/>
            <w:tcBorders>
              <w:top w:val="nil"/>
              <w:left w:val="single" w:sz="8" w:space="0" w:color="auto"/>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color w:val="000000"/>
                <w:sz w:val="18"/>
                <w:szCs w:val="20"/>
                <w:lang w:eastAsia="en-IN"/>
              </w:rPr>
            </w:pPr>
            <w:r w:rsidRPr="005E1072">
              <w:rPr>
                <w:rFonts w:ascii="Bookman Old Style" w:eastAsia="Times New Roman" w:hAnsi="Bookman Old Style" w:cs="Calibri"/>
                <w:color w:val="000000"/>
                <w:sz w:val="18"/>
                <w:szCs w:val="20"/>
                <w:lang w:eastAsia="en-IN"/>
              </w:rPr>
              <w:t> </w:t>
            </w:r>
          </w:p>
        </w:tc>
        <w:tc>
          <w:tcPr>
            <w:tcW w:w="1733"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 xml:space="preserve">Total Long term loan </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4356.18</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1762.3</w:t>
            </w:r>
          </w:p>
        </w:tc>
        <w:tc>
          <w:tcPr>
            <w:tcW w:w="133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6118.48</w:t>
            </w:r>
          </w:p>
        </w:tc>
        <w:tc>
          <w:tcPr>
            <w:tcW w:w="1427"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624.87</w:t>
            </w:r>
          </w:p>
        </w:tc>
        <w:tc>
          <w:tcPr>
            <w:tcW w:w="1335"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489.28</w:t>
            </w:r>
          </w:p>
        </w:tc>
        <w:tc>
          <w:tcPr>
            <w:tcW w:w="1336" w:type="dxa"/>
            <w:tcBorders>
              <w:top w:val="nil"/>
              <w:left w:val="nil"/>
              <w:bottom w:val="single" w:sz="8" w:space="0" w:color="auto"/>
              <w:right w:val="single" w:sz="8" w:space="0" w:color="auto"/>
            </w:tcBorders>
            <w:shd w:val="clear" w:color="000000" w:fill="FFFFFF"/>
            <w:vAlign w:val="center"/>
            <w:hideMark/>
          </w:tcPr>
          <w:p w:rsidR="00DF0399" w:rsidRPr="005E1072" w:rsidRDefault="00DF0399" w:rsidP="00F56AC9">
            <w:pPr>
              <w:spacing w:after="0" w:line="276" w:lineRule="auto"/>
              <w:jc w:val="right"/>
              <w:rPr>
                <w:rFonts w:ascii="Bookman Old Style" w:eastAsia="Times New Roman" w:hAnsi="Bookman Old Style" w:cs="Calibri"/>
                <w:b/>
                <w:bCs/>
                <w:color w:val="000000"/>
                <w:sz w:val="18"/>
                <w:szCs w:val="20"/>
                <w:lang w:eastAsia="en-IN"/>
              </w:rPr>
            </w:pPr>
            <w:r w:rsidRPr="005E1072">
              <w:rPr>
                <w:rFonts w:ascii="Bookman Old Style" w:eastAsia="Times New Roman" w:hAnsi="Bookman Old Style" w:cs="Calibri"/>
                <w:b/>
                <w:bCs/>
                <w:color w:val="000000"/>
                <w:sz w:val="18"/>
                <w:szCs w:val="20"/>
                <w:lang w:eastAsia="en-IN"/>
              </w:rPr>
              <w:t>5493.6</w:t>
            </w:r>
            <w:r w:rsidR="00E51053">
              <w:rPr>
                <w:rFonts w:ascii="Bookman Old Style" w:eastAsia="Times New Roman" w:hAnsi="Bookman Old Style" w:cs="Calibri"/>
                <w:b/>
                <w:bCs/>
                <w:color w:val="000000"/>
                <w:sz w:val="18"/>
                <w:szCs w:val="20"/>
                <w:lang w:eastAsia="en-IN"/>
              </w:rPr>
              <w:t>2</w:t>
            </w:r>
          </w:p>
        </w:tc>
      </w:tr>
    </w:tbl>
    <w:p w:rsidR="00381ACE" w:rsidRDefault="00381ACE" w:rsidP="00717D3E">
      <w:pPr>
        <w:spacing w:line="240" w:lineRule="auto"/>
        <w:ind w:left="5040" w:right="67" w:firstLine="720"/>
        <w:rPr>
          <w:rFonts w:ascii="Bookman Old Style" w:eastAsiaTheme="minorEastAsia" w:hAnsi="Bookman Old Style" w:cs="Arial"/>
          <w:b/>
          <w:sz w:val="20"/>
          <w:szCs w:val="26"/>
        </w:rPr>
      </w:pPr>
    </w:p>
    <w:p w:rsidR="00381ACE" w:rsidRDefault="00381ACE" w:rsidP="004357A0">
      <w:pPr>
        <w:spacing w:line="360" w:lineRule="auto"/>
        <w:ind w:right="67"/>
        <w:jc w:val="both"/>
        <w:rPr>
          <w:rFonts w:ascii="Bookman Old Style" w:eastAsiaTheme="minorEastAsia" w:hAnsi="Bookman Old Style" w:cs="Arial"/>
          <w:color w:val="000000" w:themeColor="text1"/>
        </w:rPr>
      </w:pPr>
      <w:r w:rsidRPr="004357A0">
        <w:rPr>
          <w:rFonts w:ascii="Bookman Old Style" w:eastAsiaTheme="minorEastAsia" w:hAnsi="Bookman Old Style" w:cs="Arial"/>
          <w:color w:val="000000" w:themeColor="text1"/>
        </w:rPr>
        <w:t>Interest is calculated on the normative average loan availed during the year using Weighted average interest rate as shown in following table:</w:t>
      </w:r>
    </w:p>
    <w:p w:rsidR="00381ACE" w:rsidRPr="006537C6" w:rsidRDefault="004D2832" w:rsidP="004D2832">
      <w:pPr>
        <w:spacing w:line="240" w:lineRule="auto"/>
        <w:ind w:right="67"/>
        <w:jc w:val="center"/>
        <w:rPr>
          <w:rFonts w:ascii="Bookman Old Style" w:eastAsiaTheme="minorEastAsia" w:hAnsi="Bookman Old Style" w:cs="Arial"/>
          <w:b/>
          <w:sz w:val="18"/>
          <w:szCs w:val="20"/>
        </w:rPr>
      </w:pPr>
      <w:r w:rsidRPr="006537C6">
        <w:rPr>
          <w:rFonts w:ascii="Bookman Old Style" w:hAnsi="Bookman Old Style" w:cs="Calibri"/>
          <w:b/>
          <w:bCs/>
          <w:sz w:val="18"/>
          <w:lang w:eastAsia="en-IN"/>
        </w:rPr>
        <w:t xml:space="preserve">                                                  Table 3.</w:t>
      </w:r>
      <w:r w:rsidR="006537C6" w:rsidRPr="006537C6">
        <w:rPr>
          <w:rFonts w:ascii="Bookman Old Style" w:hAnsi="Bookman Old Style" w:cs="Calibri"/>
          <w:b/>
          <w:bCs/>
          <w:sz w:val="18"/>
          <w:szCs w:val="20"/>
          <w:lang w:eastAsia="en-IN"/>
        </w:rPr>
        <w:t>3</w:t>
      </w:r>
      <w:r w:rsidR="002D3B21">
        <w:rPr>
          <w:rFonts w:ascii="Bookman Old Style" w:hAnsi="Bookman Old Style" w:cs="Calibri"/>
          <w:b/>
          <w:bCs/>
          <w:sz w:val="18"/>
          <w:szCs w:val="20"/>
          <w:lang w:eastAsia="en-IN"/>
        </w:rPr>
        <w:t>2</w:t>
      </w:r>
      <w:r w:rsidRPr="006537C6">
        <w:rPr>
          <w:rFonts w:ascii="Bookman Old Style" w:hAnsi="Bookman Old Style" w:cs="Calibri"/>
          <w:b/>
          <w:bCs/>
          <w:sz w:val="18"/>
          <w:szCs w:val="20"/>
          <w:lang w:eastAsia="en-IN"/>
        </w:rPr>
        <w:t xml:space="preserve">           </w:t>
      </w:r>
      <w:r w:rsidRPr="006537C6">
        <w:rPr>
          <w:rFonts w:ascii="Bookman Old Style" w:eastAsiaTheme="minorEastAsia" w:hAnsi="Bookman Old Style" w:cs="Arial"/>
          <w:b/>
          <w:sz w:val="18"/>
          <w:szCs w:val="20"/>
        </w:rPr>
        <w:t xml:space="preserve">             Amount in Crs.</w:t>
      </w:r>
    </w:p>
    <w:tbl>
      <w:tblPr>
        <w:tblW w:w="7548" w:type="dxa"/>
        <w:jc w:val="center"/>
        <w:tblLook w:val="04A0" w:firstRow="1" w:lastRow="0" w:firstColumn="1" w:lastColumn="0" w:noHBand="0" w:noVBand="1"/>
      </w:tblPr>
      <w:tblGrid>
        <w:gridCol w:w="3484"/>
        <w:gridCol w:w="1902"/>
        <w:gridCol w:w="2162"/>
      </w:tblGrid>
      <w:tr w:rsidR="004F755F" w:rsidRPr="004F755F" w:rsidTr="002D3B21">
        <w:trPr>
          <w:trHeight w:val="240"/>
          <w:jc w:val="center"/>
        </w:trPr>
        <w:tc>
          <w:tcPr>
            <w:tcW w:w="34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rPr>
                <w:rFonts w:ascii="Bookman Old Style" w:eastAsia="Times New Roman" w:hAnsi="Bookman Old Style" w:cs="Calibri"/>
                <w:b/>
                <w:bCs/>
                <w:color w:val="000000"/>
                <w:lang w:eastAsia="en-IN"/>
              </w:rPr>
            </w:pPr>
            <w:r w:rsidRPr="004F755F">
              <w:rPr>
                <w:rFonts w:ascii="Bookman Old Style" w:eastAsia="Times New Roman" w:hAnsi="Bookman Old Style" w:cs="Calibri"/>
                <w:b/>
                <w:bCs/>
                <w:color w:val="000000"/>
                <w:lang w:eastAsia="en-IN"/>
              </w:rPr>
              <w:t>Particulars</w:t>
            </w:r>
          </w:p>
        </w:tc>
        <w:tc>
          <w:tcPr>
            <w:tcW w:w="1902" w:type="dxa"/>
            <w:tcBorders>
              <w:top w:val="single" w:sz="8" w:space="0" w:color="auto"/>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center"/>
              <w:rPr>
                <w:rFonts w:ascii="Bookman Old Style" w:eastAsia="Times New Roman" w:hAnsi="Bookman Old Style" w:cs="Calibri"/>
                <w:b/>
                <w:bCs/>
                <w:color w:val="000000"/>
                <w:lang w:eastAsia="en-IN"/>
              </w:rPr>
            </w:pPr>
            <w:r w:rsidRPr="004F755F">
              <w:rPr>
                <w:rFonts w:ascii="Bookman Old Style" w:eastAsia="Times New Roman" w:hAnsi="Bookman Old Style" w:cs="Calibri"/>
                <w:b/>
                <w:bCs/>
                <w:color w:val="000000"/>
                <w:lang w:eastAsia="en-IN"/>
              </w:rPr>
              <w:t>Approved</w:t>
            </w:r>
          </w:p>
        </w:tc>
        <w:tc>
          <w:tcPr>
            <w:tcW w:w="2162" w:type="dxa"/>
            <w:tcBorders>
              <w:top w:val="single" w:sz="8" w:space="0" w:color="auto"/>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center"/>
              <w:rPr>
                <w:rFonts w:ascii="Bookman Old Style" w:eastAsia="Times New Roman" w:hAnsi="Bookman Old Style" w:cs="Calibri"/>
                <w:b/>
                <w:bCs/>
                <w:color w:val="000000"/>
                <w:lang w:eastAsia="en-IN"/>
              </w:rPr>
            </w:pPr>
            <w:r w:rsidRPr="004F755F">
              <w:rPr>
                <w:rFonts w:ascii="Bookman Old Style" w:eastAsia="Times New Roman" w:hAnsi="Bookman Old Style" w:cs="Calibri"/>
                <w:b/>
                <w:bCs/>
                <w:color w:val="000000"/>
                <w:lang w:eastAsia="en-IN"/>
              </w:rPr>
              <w:t>Actuals</w:t>
            </w:r>
          </w:p>
        </w:tc>
      </w:tr>
      <w:tr w:rsidR="004F755F" w:rsidRPr="004F755F" w:rsidTr="002D3B21">
        <w:trPr>
          <w:trHeight w:val="469"/>
          <w:jc w:val="center"/>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Opening Balance Long  term Loans</w:t>
            </w:r>
          </w:p>
        </w:tc>
        <w:tc>
          <w:tcPr>
            <w:tcW w:w="1902" w:type="dxa"/>
            <w:tcBorders>
              <w:top w:val="nil"/>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right"/>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4741.54</w:t>
            </w:r>
          </w:p>
        </w:tc>
        <w:tc>
          <w:tcPr>
            <w:tcW w:w="2162" w:type="dxa"/>
            <w:tcBorders>
              <w:top w:val="nil"/>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right"/>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4356.18</w:t>
            </w:r>
          </w:p>
        </w:tc>
      </w:tr>
      <w:tr w:rsidR="004F755F" w:rsidRPr="004F755F" w:rsidTr="002D3B21">
        <w:trPr>
          <w:trHeight w:val="240"/>
          <w:jc w:val="center"/>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Add new loans</w:t>
            </w:r>
          </w:p>
        </w:tc>
        <w:tc>
          <w:tcPr>
            <w:tcW w:w="1902" w:type="dxa"/>
            <w:tcBorders>
              <w:top w:val="nil"/>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right"/>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900.00</w:t>
            </w:r>
          </w:p>
        </w:tc>
        <w:tc>
          <w:tcPr>
            <w:tcW w:w="2162" w:type="dxa"/>
            <w:tcBorders>
              <w:top w:val="nil"/>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right"/>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1762.30</w:t>
            </w:r>
          </w:p>
        </w:tc>
      </w:tr>
      <w:tr w:rsidR="004F755F" w:rsidRPr="004F755F" w:rsidTr="002D3B21">
        <w:trPr>
          <w:trHeight w:val="240"/>
          <w:jc w:val="center"/>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Less: Repayments</w:t>
            </w:r>
          </w:p>
        </w:tc>
        <w:tc>
          <w:tcPr>
            <w:tcW w:w="1902" w:type="dxa"/>
            <w:tcBorders>
              <w:top w:val="nil"/>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right"/>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349.97</w:t>
            </w:r>
          </w:p>
        </w:tc>
        <w:tc>
          <w:tcPr>
            <w:tcW w:w="2162" w:type="dxa"/>
            <w:tcBorders>
              <w:top w:val="nil"/>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right"/>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624.87</w:t>
            </w:r>
          </w:p>
        </w:tc>
      </w:tr>
      <w:tr w:rsidR="004F755F" w:rsidRPr="004F755F" w:rsidTr="002D3B21">
        <w:trPr>
          <w:trHeight w:val="469"/>
          <w:jc w:val="center"/>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Total Loan at the end of the year</w:t>
            </w:r>
          </w:p>
        </w:tc>
        <w:tc>
          <w:tcPr>
            <w:tcW w:w="1902" w:type="dxa"/>
            <w:tcBorders>
              <w:top w:val="nil"/>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right"/>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5291.57</w:t>
            </w:r>
          </w:p>
        </w:tc>
        <w:tc>
          <w:tcPr>
            <w:tcW w:w="2162" w:type="dxa"/>
            <w:tcBorders>
              <w:top w:val="nil"/>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right"/>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5493.6</w:t>
            </w:r>
            <w:r w:rsidR="002D3B21">
              <w:rPr>
                <w:rFonts w:ascii="Bookman Old Style" w:eastAsia="Times New Roman" w:hAnsi="Bookman Old Style" w:cs="Calibri"/>
                <w:color w:val="000000"/>
                <w:lang w:eastAsia="en-IN"/>
              </w:rPr>
              <w:t>2</w:t>
            </w:r>
          </w:p>
        </w:tc>
      </w:tr>
      <w:tr w:rsidR="004F755F" w:rsidRPr="004F755F" w:rsidTr="002D3B21">
        <w:trPr>
          <w:trHeight w:val="240"/>
          <w:jc w:val="center"/>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Average loan</w:t>
            </w:r>
          </w:p>
        </w:tc>
        <w:tc>
          <w:tcPr>
            <w:tcW w:w="1902" w:type="dxa"/>
            <w:tcBorders>
              <w:top w:val="nil"/>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right"/>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5016.56</w:t>
            </w:r>
          </w:p>
        </w:tc>
        <w:tc>
          <w:tcPr>
            <w:tcW w:w="2162" w:type="dxa"/>
            <w:tcBorders>
              <w:top w:val="nil"/>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right"/>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4924.</w:t>
            </w:r>
            <w:r w:rsidR="002D3B21">
              <w:rPr>
                <w:rFonts w:ascii="Bookman Old Style" w:eastAsia="Times New Roman" w:hAnsi="Bookman Old Style" w:cs="Calibri"/>
                <w:color w:val="000000"/>
                <w:lang w:eastAsia="en-IN"/>
              </w:rPr>
              <w:t>90</w:t>
            </w:r>
          </w:p>
        </w:tc>
      </w:tr>
      <w:tr w:rsidR="004F755F" w:rsidRPr="004F755F" w:rsidTr="002D3B21">
        <w:trPr>
          <w:trHeight w:val="469"/>
          <w:jc w:val="center"/>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Weighted average rate of interest in %</w:t>
            </w:r>
          </w:p>
        </w:tc>
        <w:tc>
          <w:tcPr>
            <w:tcW w:w="1902" w:type="dxa"/>
            <w:tcBorders>
              <w:top w:val="nil"/>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right"/>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8.59</w:t>
            </w:r>
          </w:p>
        </w:tc>
        <w:tc>
          <w:tcPr>
            <w:tcW w:w="2162" w:type="dxa"/>
            <w:tcBorders>
              <w:top w:val="nil"/>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right"/>
              <w:rPr>
                <w:rFonts w:ascii="Bookman Old Style" w:eastAsia="Times New Roman" w:hAnsi="Bookman Old Style" w:cs="Calibri"/>
                <w:color w:val="000000"/>
                <w:lang w:eastAsia="en-IN"/>
              </w:rPr>
            </w:pPr>
            <w:r w:rsidRPr="004F755F">
              <w:rPr>
                <w:rFonts w:ascii="Bookman Old Style" w:eastAsia="Times New Roman" w:hAnsi="Bookman Old Style" w:cs="Calibri"/>
                <w:color w:val="000000"/>
                <w:lang w:eastAsia="en-IN"/>
              </w:rPr>
              <w:t>9.93</w:t>
            </w:r>
          </w:p>
        </w:tc>
      </w:tr>
      <w:tr w:rsidR="004F755F" w:rsidRPr="004F755F" w:rsidTr="002D3B21">
        <w:trPr>
          <w:trHeight w:val="240"/>
          <w:jc w:val="center"/>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rPr>
                <w:rFonts w:ascii="Bookman Old Style" w:eastAsia="Times New Roman" w:hAnsi="Bookman Old Style" w:cs="Calibri"/>
                <w:b/>
                <w:bCs/>
                <w:color w:val="000000"/>
                <w:lang w:eastAsia="en-IN"/>
              </w:rPr>
            </w:pPr>
            <w:r w:rsidRPr="004F755F">
              <w:rPr>
                <w:rFonts w:ascii="Bookman Old Style" w:eastAsia="Times New Roman" w:hAnsi="Bookman Old Style" w:cs="Calibri"/>
                <w:b/>
                <w:bCs/>
                <w:color w:val="000000"/>
                <w:lang w:eastAsia="en-IN"/>
              </w:rPr>
              <w:t>Interest on long term loans</w:t>
            </w:r>
          </w:p>
        </w:tc>
        <w:tc>
          <w:tcPr>
            <w:tcW w:w="1902" w:type="dxa"/>
            <w:tcBorders>
              <w:top w:val="nil"/>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right"/>
              <w:rPr>
                <w:rFonts w:ascii="Bookman Old Style" w:eastAsia="Times New Roman" w:hAnsi="Bookman Old Style" w:cs="Calibri"/>
                <w:b/>
                <w:bCs/>
                <w:color w:val="000000"/>
                <w:lang w:eastAsia="en-IN"/>
              </w:rPr>
            </w:pPr>
            <w:r w:rsidRPr="004F755F">
              <w:rPr>
                <w:rFonts w:ascii="Bookman Old Style" w:eastAsia="Times New Roman" w:hAnsi="Bookman Old Style" w:cs="Calibri"/>
                <w:b/>
                <w:bCs/>
                <w:color w:val="000000"/>
                <w:lang w:eastAsia="en-IN"/>
              </w:rPr>
              <w:t>430.91</w:t>
            </w:r>
          </w:p>
        </w:tc>
        <w:tc>
          <w:tcPr>
            <w:tcW w:w="2162" w:type="dxa"/>
            <w:tcBorders>
              <w:top w:val="nil"/>
              <w:left w:val="nil"/>
              <w:bottom w:val="single" w:sz="8" w:space="0" w:color="auto"/>
              <w:right w:val="single" w:sz="8" w:space="0" w:color="auto"/>
            </w:tcBorders>
            <w:shd w:val="clear" w:color="auto" w:fill="auto"/>
            <w:vAlign w:val="center"/>
            <w:hideMark/>
          </w:tcPr>
          <w:p w:rsidR="004F755F" w:rsidRPr="004F755F" w:rsidRDefault="004F755F" w:rsidP="008B0A50">
            <w:pPr>
              <w:spacing w:after="0" w:line="240" w:lineRule="auto"/>
              <w:jc w:val="right"/>
              <w:rPr>
                <w:rFonts w:ascii="Bookman Old Style" w:eastAsia="Times New Roman" w:hAnsi="Bookman Old Style" w:cs="Calibri"/>
                <w:b/>
                <w:bCs/>
                <w:color w:val="000000"/>
                <w:lang w:eastAsia="en-IN"/>
              </w:rPr>
            </w:pPr>
            <w:r w:rsidRPr="004F755F">
              <w:rPr>
                <w:rFonts w:ascii="Bookman Old Style" w:eastAsia="Times New Roman" w:hAnsi="Bookman Old Style" w:cs="Calibri"/>
                <w:b/>
                <w:bCs/>
                <w:color w:val="000000"/>
                <w:lang w:eastAsia="en-IN"/>
              </w:rPr>
              <w:t>489.28</w:t>
            </w:r>
          </w:p>
        </w:tc>
      </w:tr>
    </w:tbl>
    <w:p w:rsidR="00381ACE" w:rsidRDefault="00381ACE" w:rsidP="00717D3E">
      <w:pPr>
        <w:spacing w:line="240" w:lineRule="auto"/>
        <w:ind w:left="5040" w:right="67" w:firstLine="720"/>
        <w:rPr>
          <w:rFonts w:ascii="Bookman Old Style" w:eastAsiaTheme="minorEastAsia" w:hAnsi="Bookman Old Style" w:cs="Arial"/>
          <w:b/>
          <w:sz w:val="20"/>
          <w:szCs w:val="26"/>
        </w:rPr>
      </w:pPr>
    </w:p>
    <w:p w:rsidR="00381ACE" w:rsidRPr="004357A0" w:rsidRDefault="00381ACE" w:rsidP="004357A0">
      <w:pPr>
        <w:spacing w:line="360" w:lineRule="auto"/>
        <w:ind w:right="67"/>
        <w:jc w:val="both"/>
        <w:rPr>
          <w:rFonts w:ascii="Bookman Old Style" w:eastAsiaTheme="minorEastAsia" w:hAnsi="Bookman Old Style" w:cs="Arial"/>
          <w:color w:val="000000" w:themeColor="text1"/>
        </w:rPr>
      </w:pPr>
      <w:r w:rsidRPr="004357A0">
        <w:rPr>
          <w:rFonts w:ascii="Bookman Old Style" w:eastAsiaTheme="minorEastAsia" w:hAnsi="Bookman Old Style" w:cs="Arial"/>
          <w:color w:val="000000" w:themeColor="text1"/>
        </w:rPr>
        <w:t>Interest paid on Long Term borrowings for the year FY-20 is Rs.489.28</w:t>
      </w:r>
      <w:r w:rsidR="002D3B21">
        <w:rPr>
          <w:rFonts w:ascii="Bookman Old Style" w:eastAsiaTheme="minorEastAsia" w:hAnsi="Bookman Old Style" w:cs="Arial"/>
          <w:color w:val="000000" w:themeColor="text1"/>
        </w:rPr>
        <w:t xml:space="preserve"> Crs.</w:t>
      </w:r>
      <w:r w:rsidRPr="004357A0">
        <w:rPr>
          <w:rFonts w:ascii="Bookman Old Style" w:eastAsiaTheme="minorEastAsia" w:hAnsi="Bookman Old Style" w:cs="Arial"/>
          <w:color w:val="000000" w:themeColor="text1"/>
        </w:rPr>
        <w:t xml:space="preserve"> Weighted Average interest rate works out at 9.93%.</w:t>
      </w:r>
    </w:p>
    <w:p w:rsidR="00381ACE" w:rsidRPr="004357A0" w:rsidRDefault="00381ACE" w:rsidP="004357A0">
      <w:pPr>
        <w:spacing w:line="360" w:lineRule="auto"/>
        <w:ind w:right="67"/>
        <w:jc w:val="both"/>
        <w:rPr>
          <w:rFonts w:ascii="Bookman Old Style" w:eastAsiaTheme="minorEastAsia" w:hAnsi="Bookman Old Style" w:cs="Arial"/>
          <w:color w:val="000000" w:themeColor="text1"/>
        </w:rPr>
      </w:pPr>
      <w:r w:rsidRPr="004357A0">
        <w:rPr>
          <w:rFonts w:ascii="Bookman Old Style" w:eastAsiaTheme="minorEastAsia" w:hAnsi="Bookman Old Style" w:cs="Arial"/>
          <w:color w:val="000000" w:themeColor="text1"/>
        </w:rPr>
        <w:lastRenderedPageBreak/>
        <w:t>A</w:t>
      </w:r>
      <w:r w:rsidR="004F755F">
        <w:rPr>
          <w:rFonts w:ascii="Bookman Old Style" w:eastAsiaTheme="minorEastAsia" w:hAnsi="Bookman Old Style" w:cs="Arial"/>
          <w:color w:val="000000" w:themeColor="text1"/>
        </w:rPr>
        <w:t>s</w:t>
      </w:r>
      <w:r w:rsidRPr="004357A0">
        <w:rPr>
          <w:rFonts w:ascii="Bookman Old Style" w:eastAsiaTheme="minorEastAsia" w:hAnsi="Bookman Old Style" w:cs="Arial"/>
          <w:color w:val="000000" w:themeColor="text1"/>
        </w:rPr>
        <w:t xml:space="preserve"> per KERC</w:t>
      </w:r>
      <w:r w:rsidR="004F755F">
        <w:rPr>
          <w:rFonts w:ascii="Bookman Old Style" w:eastAsiaTheme="minorEastAsia" w:hAnsi="Bookman Old Style" w:cs="Arial"/>
          <w:color w:val="000000" w:themeColor="text1"/>
        </w:rPr>
        <w:t xml:space="preserve"> </w:t>
      </w:r>
      <w:r w:rsidRPr="004357A0">
        <w:rPr>
          <w:rFonts w:ascii="Bookman Old Style" w:eastAsiaTheme="minorEastAsia" w:hAnsi="Bookman Old Style" w:cs="Arial"/>
          <w:color w:val="000000" w:themeColor="text1"/>
        </w:rPr>
        <w:t>(Terms and Conditions for determination of Tariff for Distribution and Retail sale electricity</w:t>
      </w:r>
      <w:r w:rsidR="004F755F">
        <w:rPr>
          <w:rFonts w:ascii="Bookman Old Style" w:eastAsiaTheme="minorEastAsia" w:hAnsi="Bookman Old Style" w:cs="Arial"/>
          <w:color w:val="000000" w:themeColor="text1"/>
        </w:rPr>
        <w:t xml:space="preserve">) </w:t>
      </w:r>
      <w:r w:rsidRPr="004357A0">
        <w:rPr>
          <w:rFonts w:ascii="Bookman Old Style" w:eastAsiaTheme="minorEastAsia" w:hAnsi="Bookman Old Style" w:cs="Arial"/>
          <w:color w:val="000000" w:themeColor="text1"/>
        </w:rPr>
        <w:t>(second amendment), Regulations 2015, “For the purpose of allowing interest on Loans during APR, the rate of interest shall be the weighted average rate of interest incurred by licensee”. BESCOM request the Hon’ble Commission to consider Rs 489.28 Crs as interest on Long term loans.</w:t>
      </w:r>
    </w:p>
    <w:p w:rsidR="00381ACE" w:rsidRPr="00DF2FF2" w:rsidRDefault="0067070C" w:rsidP="00717D3E">
      <w:pPr>
        <w:spacing w:line="360" w:lineRule="auto"/>
        <w:ind w:right="67"/>
        <w:jc w:val="both"/>
        <w:rPr>
          <w:rFonts w:ascii="Bookman Old Style" w:eastAsiaTheme="minorEastAsia" w:hAnsi="Bookman Old Style" w:cs="Arial"/>
          <w:b/>
          <w:sz w:val="28"/>
          <w:szCs w:val="24"/>
        </w:rPr>
      </w:pPr>
      <w:r>
        <w:rPr>
          <w:rFonts w:ascii="Bookman Old Style" w:eastAsiaTheme="minorEastAsia" w:hAnsi="Bookman Old Style" w:cs="Arial"/>
          <w:b/>
          <w:sz w:val="28"/>
          <w:szCs w:val="24"/>
        </w:rPr>
        <w:t>Short term loan and Over drafts</w:t>
      </w:r>
      <w:r w:rsidR="000A1A44">
        <w:rPr>
          <w:rFonts w:ascii="Bookman Old Style" w:eastAsiaTheme="minorEastAsia" w:hAnsi="Bookman Old Style" w:cs="Arial"/>
          <w:b/>
          <w:sz w:val="28"/>
          <w:szCs w:val="24"/>
        </w:rPr>
        <w:t>:</w:t>
      </w:r>
    </w:p>
    <w:p w:rsidR="00D1177B" w:rsidRPr="008B0A50" w:rsidRDefault="00381ACE" w:rsidP="008B0A50">
      <w:pPr>
        <w:spacing w:line="360" w:lineRule="auto"/>
        <w:ind w:right="67"/>
        <w:jc w:val="both"/>
        <w:rPr>
          <w:rFonts w:ascii="Bookman Old Style" w:eastAsiaTheme="minorEastAsia" w:hAnsi="Bookman Old Style" w:cs="Arial"/>
          <w:color w:val="000000" w:themeColor="text1"/>
        </w:rPr>
      </w:pPr>
      <w:r w:rsidRPr="0067070C">
        <w:rPr>
          <w:rFonts w:ascii="Bookman Old Style" w:eastAsiaTheme="minorEastAsia" w:hAnsi="Bookman Old Style" w:cs="Arial"/>
          <w:color w:val="000000" w:themeColor="text1"/>
        </w:rPr>
        <w:t xml:space="preserve">To meet the day to day expenditure i.e., for working capital, BESCOM borrowed short </w:t>
      </w:r>
      <w:r w:rsidRPr="00D50F9D">
        <w:rPr>
          <w:rFonts w:ascii="Bookman Old Style" w:eastAsiaTheme="minorEastAsia" w:hAnsi="Bookman Old Style" w:cs="Arial"/>
        </w:rPr>
        <w:t xml:space="preserve">term loan and over drafts.  As per the final Accounts, an amount of </w:t>
      </w:r>
      <w:r w:rsidRPr="00D50F9D">
        <w:rPr>
          <w:rFonts w:ascii="Bookman Old Style" w:eastAsiaTheme="minorEastAsia" w:hAnsi="Bookman Old Style" w:cs="Arial"/>
          <w:b/>
        </w:rPr>
        <w:t>Rs. 4,836.01</w:t>
      </w:r>
      <w:r w:rsidRPr="00D50F9D">
        <w:rPr>
          <w:rFonts w:ascii="Bookman Old Style" w:eastAsiaTheme="minorEastAsia" w:hAnsi="Bookman Old Style" w:cs="Arial"/>
        </w:rPr>
        <w:t xml:space="preserve"> </w:t>
      </w:r>
      <w:r w:rsidRPr="00D50F9D">
        <w:rPr>
          <w:rFonts w:ascii="Bookman Old Style" w:eastAsiaTheme="minorEastAsia" w:hAnsi="Bookman Old Style" w:cs="Arial"/>
          <w:b/>
        </w:rPr>
        <w:t>Crore</w:t>
      </w:r>
      <w:r w:rsidRPr="00D50F9D">
        <w:rPr>
          <w:rFonts w:ascii="Bookman Old Style" w:eastAsiaTheme="minorEastAsia" w:hAnsi="Bookman Old Style" w:cs="Arial"/>
        </w:rPr>
        <w:t xml:space="preserve"> of short term and over draft borrowings are existing as at the end of the year FY-</w:t>
      </w:r>
      <w:r w:rsidR="00947D46" w:rsidRPr="00D50F9D">
        <w:rPr>
          <w:rFonts w:ascii="Bookman Old Style" w:eastAsiaTheme="minorEastAsia" w:hAnsi="Bookman Old Style" w:cs="Arial"/>
        </w:rPr>
        <w:t>20</w:t>
      </w:r>
      <w:r w:rsidRPr="00D50F9D">
        <w:rPr>
          <w:rFonts w:ascii="Bookman Old Style" w:eastAsiaTheme="minorEastAsia" w:hAnsi="Bookman Old Style" w:cs="Arial"/>
        </w:rPr>
        <w:t xml:space="preserve">.  Details </w:t>
      </w:r>
      <w:r w:rsidRPr="0067070C">
        <w:rPr>
          <w:rFonts w:ascii="Bookman Old Style" w:eastAsiaTheme="minorEastAsia" w:hAnsi="Bookman Old Style" w:cs="Arial"/>
          <w:color w:val="000000" w:themeColor="text1"/>
        </w:rPr>
        <w:t>of loans outstanding and</w:t>
      </w:r>
      <w:r w:rsidR="002D3B21">
        <w:rPr>
          <w:rFonts w:ascii="Bookman Old Style" w:eastAsiaTheme="minorEastAsia" w:hAnsi="Bookman Old Style" w:cs="Arial"/>
          <w:color w:val="000000" w:themeColor="text1"/>
        </w:rPr>
        <w:t xml:space="preserve"> interest paid are shown below:</w:t>
      </w:r>
      <w:r w:rsidR="005E1072">
        <w:rPr>
          <w:rFonts w:ascii="Bookman Old Style" w:eastAsiaTheme="minorEastAsia" w:hAnsi="Bookman Old Style" w:cs="Arial"/>
          <w:b/>
          <w:color w:val="F2F2F2" w:themeColor="background1" w:themeShade="F2"/>
          <w:sz w:val="18"/>
          <w:szCs w:val="26"/>
        </w:rPr>
        <w:t xml:space="preserve">                                                          </w:t>
      </w:r>
    </w:p>
    <w:p w:rsidR="004D2832" w:rsidRPr="006537C6" w:rsidRDefault="005E1072" w:rsidP="004D2832">
      <w:pPr>
        <w:spacing w:line="240" w:lineRule="auto"/>
        <w:ind w:right="67"/>
        <w:jc w:val="center"/>
        <w:rPr>
          <w:rFonts w:ascii="Bookman Old Style" w:eastAsiaTheme="minorEastAsia" w:hAnsi="Bookman Old Style" w:cs="Arial"/>
          <w:b/>
          <w:sz w:val="18"/>
          <w:szCs w:val="20"/>
        </w:rPr>
      </w:pPr>
      <w:r>
        <w:rPr>
          <w:rFonts w:ascii="Bookman Old Style" w:eastAsiaTheme="minorEastAsia" w:hAnsi="Bookman Old Style" w:cs="Arial"/>
          <w:b/>
          <w:color w:val="F2F2F2" w:themeColor="background1" w:themeShade="F2"/>
          <w:sz w:val="18"/>
          <w:szCs w:val="26"/>
        </w:rPr>
        <w:t xml:space="preserve">  </w:t>
      </w:r>
      <w:r w:rsidR="005748D0">
        <w:rPr>
          <w:rFonts w:ascii="Bookman Old Style" w:eastAsiaTheme="minorEastAsia" w:hAnsi="Bookman Old Style" w:cs="Arial"/>
          <w:b/>
          <w:color w:val="F2F2F2" w:themeColor="background1" w:themeShade="F2"/>
          <w:sz w:val="18"/>
          <w:szCs w:val="26"/>
        </w:rPr>
        <w:t xml:space="preserve">                                                               </w:t>
      </w:r>
      <w:r>
        <w:rPr>
          <w:rFonts w:ascii="Bookman Old Style" w:eastAsiaTheme="minorEastAsia" w:hAnsi="Bookman Old Style" w:cs="Arial"/>
          <w:b/>
          <w:color w:val="F2F2F2" w:themeColor="background1" w:themeShade="F2"/>
          <w:sz w:val="18"/>
          <w:szCs w:val="26"/>
        </w:rPr>
        <w:t xml:space="preserve"> </w:t>
      </w:r>
      <w:r w:rsidR="004D2832" w:rsidRPr="006537C6">
        <w:rPr>
          <w:rFonts w:ascii="Bookman Old Style" w:eastAsiaTheme="minorEastAsia" w:hAnsi="Bookman Old Style" w:cs="Arial"/>
          <w:b/>
          <w:color w:val="F2F2F2" w:themeColor="background1" w:themeShade="F2"/>
          <w:sz w:val="18"/>
          <w:szCs w:val="26"/>
        </w:rPr>
        <w:t xml:space="preserve"> </w:t>
      </w:r>
      <w:r w:rsidR="00381ACE" w:rsidRPr="006537C6">
        <w:rPr>
          <w:rFonts w:ascii="Bookman Old Style" w:eastAsiaTheme="minorEastAsia" w:hAnsi="Bookman Old Style" w:cs="Arial"/>
          <w:b/>
          <w:color w:val="F2F2F2" w:themeColor="background1" w:themeShade="F2"/>
          <w:sz w:val="18"/>
          <w:szCs w:val="26"/>
        </w:rPr>
        <w:t xml:space="preserve"> </w:t>
      </w:r>
      <w:r w:rsidR="004D2832" w:rsidRPr="006537C6">
        <w:rPr>
          <w:rFonts w:ascii="Bookman Old Style" w:hAnsi="Bookman Old Style" w:cs="Calibri"/>
          <w:b/>
          <w:bCs/>
          <w:sz w:val="18"/>
          <w:lang w:eastAsia="en-IN"/>
        </w:rPr>
        <w:t>Table 3.</w:t>
      </w:r>
      <w:r w:rsidR="004D2832" w:rsidRPr="006537C6">
        <w:rPr>
          <w:rFonts w:ascii="Bookman Old Style" w:hAnsi="Bookman Old Style" w:cs="Calibri"/>
          <w:b/>
          <w:bCs/>
          <w:sz w:val="18"/>
          <w:szCs w:val="20"/>
          <w:lang w:eastAsia="en-IN"/>
        </w:rPr>
        <w:t>3</w:t>
      </w:r>
      <w:r w:rsidR="002D3B21">
        <w:rPr>
          <w:rFonts w:ascii="Bookman Old Style" w:hAnsi="Bookman Old Style" w:cs="Calibri"/>
          <w:b/>
          <w:bCs/>
          <w:sz w:val="18"/>
          <w:szCs w:val="20"/>
          <w:lang w:eastAsia="en-IN"/>
        </w:rPr>
        <w:t>3</w:t>
      </w:r>
      <w:r w:rsidR="004D2832" w:rsidRPr="006537C6">
        <w:rPr>
          <w:rFonts w:ascii="Bookman Old Style" w:hAnsi="Bookman Old Style" w:cs="Calibri"/>
          <w:b/>
          <w:bCs/>
          <w:sz w:val="18"/>
          <w:szCs w:val="20"/>
          <w:lang w:eastAsia="en-IN"/>
        </w:rPr>
        <w:t xml:space="preserve">                 </w:t>
      </w:r>
      <w:r w:rsidR="004D2832" w:rsidRPr="006537C6">
        <w:rPr>
          <w:rFonts w:ascii="Bookman Old Style" w:eastAsiaTheme="minorEastAsia" w:hAnsi="Bookman Old Style" w:cs="Arial"/>
          <w:b/>
          <w:sz w:val="18"/>
          <w:szCs w:val="20"/>
        </w:rPr>
        <w:t xml:space="preserve">                          Amount in Crs.</w:t>
      </w:r>
    </w:p>
    <w:tbl>
      <w:tblPr>
        <w:tblW w:w="9960" w:type="dxa"/>
        <w:tblInd w:w="-176" w:type="dxa"/>
        <w:tblLook w:val="04A0" w:firstRow="1" w:lastRow="0" w:firstColumn="1" w:lastColumn="0" w:noHBand="0" w:noVBand="1"/>
      </w:tblPr>
      <w:tblGrid>
        <w:gridCol w:w="1844"/>
        <w:gridCol w:w="1391"/>
        <w:gridCol w:w="1177"/>
        <w:gridCol w:w="1253"/>
        <w:gridCol w:w="1452"/>
        <w:gridCol w:w="1471"/>
        <w:gridCol w:w="1372"/>
      </w:tblGrid>
      <w:tr w:rsidR="00A54A3C" w:rsidRPr="00E139D2" w:rsidTr="008B0A50">
        <w:trPr>
          <w:trHeight w:val="688"/>
        </w:trPr>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jc w:val="center"/>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 xml:space="preserve">Short term loans </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jc w:val="center"/>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 xml:space="preserve"> Opening Balance  </w:t>
            </w:r>
          </w:p>
        </w:tc>
        <w:tc>
          <w:tcPr>
            <w:tcW w:w="1177" w:type="dxa"/>
            <w:tcBorders>
              <w:top w:val="single" w:sz="4" w:space="0" w:color="auto"/>
              <w:left w:val="nil"/>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jc w:val="center"/>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 xml:space="preserve"> New loan addition </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jc w:val="center"/>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 xml:space="preserve"> Total loan at the end of the year </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jc w:val="center"/>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 xml:space="preserve">Repayment of principal </w:t>
            </w:r>
          </w:p>
        </w:tc>
        <w:tc>
          <w:tcPr>
            <w:tcW w:w="1471" w:type="dxa"/>
            <w:tcBorders>
              <w:top w:val="single" w:sz="4" w:space="0" w:color="auto"/>
              <w:left w:val="nil"/>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jc w:val="center"/>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 xml:space="preserve"> Interest for the year </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jc w:val="center"/>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 xml:space="preserve"> Closing Bal </w:t>
            </w:r>
          </w:p>
        </w:tc>
      </w:tr>
      <w:tr w:rsidR="00A54A3C" w:rsidRPr="00E139D2" w:rsidTr="002D3B21">
        <w:trPr>
          <w:trHeight w:val="297"/>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Vijaya Bank</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750.00</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3500.00</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4250.00</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3000.00</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65.73</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1250.00</w:t>
            </w:r>
          </w:p>
        </w:tc>
      </w:tr>
      <w:tr w:rsidR="00A54A3C" w:rsidRPr="00E139D2" w:rsidTr="002D3B21">
        <w:trPr>
          <w:trHeight w:val="505"/>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Corporation Bank</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350.00</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250.00</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600.00</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350.05</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29.97</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249.95</w:t>
            </w:r>
          </w:p>
        </w:tc>
      </w:tr>
      <w:tr w:rsidR="00A54A3C" w:rsidRPr="00E139D2" w:rsidTr="002D3B21">
        <w:trPr>
          <w:trHeight w:val="297"/>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SBM</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xml:space="preserve">                     -   </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1400.00</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1400.00</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669.62</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43.48</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730.38</w:t>
            </w:r>
          </w:p>
        </w:tc>
      </w:tr>
      <w:tr w:rsidR="00A54A3C" w:rsidRPr="00E139D2" w:rsidTr="008B0A50">
        <w:trPr>
          <w:trHeight w:val="290"/>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Syndicate Bank</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w:t>
            </w:r>
          </w:p>
        </w:tc>
      </w:tr>
      <w:tr w:rsidR="00A54A3C" w:rsidRPr="00E139D2" w:rsidTr="002D3B21">
        <w:trPr>
          <w:trHeight w:val="297"/>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Bank of India</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xml:space="preserve">                     -   </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400.00</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400.00</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99.99</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19.11</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300.01</w:t>
            </w:r>
          </w:p>
        </w:tc>
      </w:tr>
      <w:tr w:rsidR="00A54A3C" w:rsidRPr="00E139D2" w:rsidTr="008B0A50">
        <w:trPr>
          <w:trHeight w:val="273"/>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 xml:space="preserve">Union Bank </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xml:space="preserve">                     -   </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250.00</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250.00</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12.51</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1.44</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237.49</w:t>
            </w:r>
          </w:p>
        </w:tc>
      </w:tr>
      <w:tr w:rsidR="00A54A3C" w:rsidRPr="00E139D2" w:rsidTr="002D3B21">
        <w:trPr>
          <w:trHeight w:val="297"/>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Canara Bank</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100.02</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200.00</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300.02</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174.99</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15.98</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125.03</w:t>
            </w:r>
          </w:p>
        </w:tc>
      </w:tr>
      <w:tr w:rsidR="00A54A3C" w:rsidRPr="00E139D2" w:rsidTr="002D3B21">
        <w:trPr>
          <w:trHeight w:val="297"/>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REC</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75.00</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150.00</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225.00</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200.00</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10.98</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25.00</w:t>
            </w:r>
          </w:p>
        </w:tc>
      </w:tr>
      <w:tr w:rsidR="00A54A3C" w:rsidRPr="00E139D2" w:rsidTr="002D3B21">
        <w:trPr>
          <w:trHeight w:val="505"/>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Total short term loan</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1275.02</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6150</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7425.02</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4507.16</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186.69</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2917.86</w:t>
            </w:r>
          </w:p>
        </w:tc>
      </w:tr>
      <w:tr w:rsidR="00A54A3C" w:rsidRPr="00E139D2" w:rsidTr="002D3B21">
        <w:trPr>
          <w:trHeight w:val="505"/>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BANK OVER Drafts</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w:t>
            </w:r>
          </w:p>
        </w:tc>
      </w:tr>
      <w:tr w:rsidR="00A54A3C" w:rsidRPr="00E139D2" w:rsidTr="002D3B21">
        <w:trPr>
          <w:trHeight w:val="378"/>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Bank of Baroda</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189.56</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97.67</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287.23</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38.40</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287.23</w:t>
            </w:r>
          </w:p>
        </w:tc>
      </w:tr>
      <w:tr w:rsidR="00A54A3C" w:rsidRPr="00E139D2" w:rsidTr="002D3B21">
        <w:trPr>
          <w:trHeight w:val="297"/>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Vijaya Bank</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590.70</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590.70</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590.70</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xml:space="preserve">                         -   </w:t>
            </w:r>
          </w:p>
        </w:tc>
      </w:tr>
      <w:tr w:rsidR="00A54A3C" w:rsidRPr="00E139D2" w:rsidTr="002D3B21">
        <w:trPr>
          <w:trHeight w:val="297"/>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Canara Bank</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981.76</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14.45</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996.21</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82.83</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996.21</w:t>
            </w:r>
          </w:p>
        </w:tc>
      </w:tr>
      <w:tr w:rsidR="00A54A3C" w:rsidRPr="00E139D2" w:rsidTr="008B0A50">
        <w:trPr>
          <w:trHeight w:val="332"/>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Syndicate Bank</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324.92</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22.86</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347.78</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48.69</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347.78</w:t>
            </w:r>
          </w:p>
        </w:tc>
      </w:tr>
      <w:tr w:rsidR="00A54A3C" w:rsidRPr="00E139D2" w:rsidTr="002D3B21">
        <w:trPr>
          <w:trHeight w:val="297"/>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Bank of India</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176.78</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22.07</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198.85</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14.10</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198.85</w:t>
            </w:r>
          </w:p>
        </w:tc>
      </w:tr>
      <w:tr w:rsidR="00A54A3C" w:rsidRPr="00E139D2" w:rsidTr="002D3B21">
        <w:trPr>
          <w:trHeight w:val="505"/>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State Bank of Mysore</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377.18</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377.18</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377.18</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xml:space="preserve">                     -   </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xml:space="preserve">                         -   </w:t>
            </w:r>
          </w:p>
        </w:tc>
      </w:tr>
      <w:tr w:rsidR="00A54A3C" w:rsidRPr="00E139D2" w:rsidTr="002D3B21">
        <w:trPr>
          <w:trHeight w:val="505"/>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State Bank of India</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37.50</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50.58</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88.08</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 </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9.54</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color w:val="000000"/>
                <w:sz w:val="18"/>
                <w:szCs w:val="20"/>
                <w:lang w:eastAsia="en-IN"/>
              </w:rPr>
            </w:pPr>
            <w:r w:rsidRPr="00E139D2">
              <w:rPr>
                <w:rFonts w:ascii="Bookman Old Style" w:eastAsia="Times New Roman" w:hAnsi="Bookman Old Style" w:cs="Calibri"/>
                <w:color w:val="000000"/>
                <w:sz w:val="18"/>
                <w:szCs w:val="20"/>
                <w:lang w:eastAsia="en-IN"/>
              </w:rPr>
              <w:t>88.08</w:t>
            </w:r>
          </w:p>
        </w:tc>
      </w:tr>
      <w:tr w:rsidR="00A54A3C" w:rsidRPr="00E139D2" w:rsidTr="002D3B21">
        <w:trPr>
          <w:trHeight w:val="378"/>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Over Draft Total</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2678.4</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207.63</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2886.03</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967.88</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193.56</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1918.15</w:t>
            </w:r>
          </w:p>
        </w:tc>
      </w:tr>
      <w:tr w:rsidR="00A54A3C" w:rsidRPr="00E139D2" w:rsidTr="002D3B21">
        <w:trPr>
          <w:trHeight w:val="681"/>
        </w:trPr>
        <w:tc>
          <w:tcPr>
            <w:tcW w:w="1844" w:type="dxa"/>
            <w:tcBorders>
              <w:top w:val="nil"/>
              <w:left w:val="single" w:sz="4" w:space="0" w:color="auto"/>
              <w:bottom w:val="single" w:sz="4" w:space="0" w:color="auto"/>
              <w:right w:val="single" w:sz="4" w:space="0" w:color="auto"/>
            </w:tcBorders>
            <w:shd w:val="clear" w:color="000000" w:fill="FFFFFF"/>
            <w:vAlign w:val="center"/>
            <w:hideMark/>
          </w:tcPr>
          <w:p w:rsidR="00A54A3C" w:rsidRPr="00E139D2" w:rsidRDefault="00A54A3C" w:rsidP="008B0A50">
            <w:pPr>
              <w:spacing w:after="0" w:line="240" w:lineRule="auto"/>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 xml:space="preserve">Total short </w:t>
            </w:r>
            <w:r w:rsidR="002D3B21">
              <w:rPr>
                <w:rFonts w:ascii="Bookman Old Style" w:eastAsia="Times New Roman" w:hAnsi="Bookman Old Style" w:cs="Calibri"/>
                <w:b/>
                <w:bCs/>
                <w:color w:val="000000"/>
                <w:sz w:val="18"/>
                <w:szCs w:val="20"/>
                <w:lang w:eastAsia="en-IN"/>
              </w:rPr>
              <w:t>t</w:t>
            </w:r>
            <w:r w:rsidRPr="00E139D2">
              <w:rPr>
                <w:rFonts w:ascii="Bookman Old Style" w:eastAsia="Times New Roman" w:hAnsi="Bookman Old Style" w:cs="Calibri"/>
                <w:b/>
                <w:bCs/>
                <w:color w:val="000000"/>
                <w:sz w:val="18"/>
                <w:szCs w:val="20"/>
                <w:lang w:eastAsia="en-IN"/>
              </w:rPr>
              <w:t>erm loan (working Capital)</w:t>
            </w:r>
          </w:p>
        </w:tc>
        <w:tc>
          <w:tcPr>
            <w:tcW w:w="139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3953.42</w:t>
            </w:r>
          </w:p>
        </w:tc>
        <w:tc>
          <w:tcPr>
            <w:tcW w:w="1177"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6357.63</w:t>
            </w:r>
          </w:p>
        </w:tc>
        <w:tc>
          <w:tcPr>
            <w:tcW w:w="1253"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10311.05</w:t>
            </w:r>
          </w:p>
        </w:tc>
        <w:tc>
          <w:tcPr>
            <w:tcW w:w="145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5475.04</w:t>
            </w:r>
          </w:p>
        </w:tc>
        <w:tc>
          <w:tcPr>
            <w:tcW w:w="1471"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380.25</w:t>
            </w:r>
          </w:p>
        </w:tc>
        <w:tc>
          <w:tcPr>
            <w:tcW w:w="1372" w:type="dxa"/>
            <w:tcBorders>
              <w:top w:val="nil"/>
              <w:left w:val="nil"/>
              <w:bottom w:val="single" w:sz="4" w:space="0" w:color="auto"/>
              <w:right w:val="single" w:sz="4" w:space="0" w:color="auto"/>
            </w:tcBorders>
            <w:shd w:val="clear" w:color="000000" w:fill="FFFFFF"/>
            <w:noWrap/>
            <w:vAlign w:val="center"/>
            <w:hideMark/>
          </w:tcPr>
          <w:p w:rsidR="00A54A3C" w:rsidRPr="00E139D2" w:rsidRDefault="00A54A3C" w:rsidP="008B0A50">
            <w:pPr>
              <w:spacing w:after="0" w:line="240" w:lineRule="auto"/>
              <w:jc w:val="right"/>
              <w:rPr>
                <w:rFonts w:ascii="Bookman Old Style" w:eastAsia="Times New Roman" w:hAnsi="Bookman Old Style" w:cs="Calibri"/>
                <w:b/>
                <w:bCs/>
                <w:color w:val="000000"/>
                <w:sz w:val="18"/>
                <w:szCs w:val="20"/>
                <w:lang w:eastAsia="en-IN"/>
              </w:rPr>
            </w:pPr>
            <w:r w:rsidRPr="00E139D2">
              <w:rPr>
                <w:rFonts w:ascii="Bookman Old Style" w:eastAsia="Times New Roman" w:hAnsi="Bookman Old Style" w:cs="Calibri"/>
                <w:b/>
                <w:bCs/>
                <w:color w:val="000000"/>
                <w:sz w:val="18"/>
                <w:szCs w:val="20"/>
                <w:lang w:eastAsia="en-IN"/>
              </w:rPr>
              <w:t>4836.01</w:t>
            </w:r>
          </w:p>
        </w:tc>
      </w:tr>
    </w:tbl>
    <w:p w:rsidR="00381ACE" w:rsidRPr="00824EDF" w:rsidRDefault="00381ACE" w:rsidP="00717D3E">
      <w:pPr>
        <w:spacing w:line="360" w:lineRule="auto"/>
        <w:ind w:right="67"/>
        <w:jc w:val="both"/>
        <w:rPr>
          <w:rFonts w:ascii="Bookman Old Style" w:eastAsiaTheme="minorEastAsia" w:hAnsi="Bookman Old Style" w:cs="Arial"/>
          <w:b/>
          <w:sz w:val="28"/>
          <w:szCs w:val="24"/>
        </w:rPr>
      </w:pPr>
      <w:r w:rsidRPr="00824EDF">
        <w:rPr>
          <w:rFonts w:ascii="Bookman Old Style" w:eastAsiaTheme="minorEastAsia" w:hAnsi="Bookman Old Style" w:cs="Arial"/>
          <w:b/>
          <w:sz w:val="28"/>
          <w:szCs w:val="24"/>
        </w:rPr>
        <w:lastRenderedPageBreak/>
        <w:t>Interest on working capital:</w:t>
      </w:r>
    </w:p>
    <w:p w:rsidR="00381ACE" w:rsidRPr="00A4546D" w:rsidRDefault="00381ACE" w:rsidP="00A4546D">
      <w:pPr>
        <w:spacing w:line="360" w:lineRule="auto"/>
        <w:ind w:right="67"/>
        <w:jc w:val="both"/>
        <w:rPr>
          <w:rFonts w:ascii="Bookman Old Style" w:eastAsiaTheme="minorEastAsia" w:hAnsi="Bookman Old Style" w:cs="Arial"/>
          <w:color w:val="000000" w:themeColor="text1"/>
        </w:rPr>
      </w:pPr>
      <w:r w:rsidRPr="00824EDF">
        <w:rPr>
          <w:rFonts w:ascii="Bookman Old Style" w:eastAsiaTheme="minorEastAsia" w:hAnsi="Bookman Old Style"/>
        </w:rPr>
        <w:t>As per the Audited Accounts</w:t>
      </w:r>
      <w:r w:rsidR="00536C3E">
        <w:rPr>
          <w:rFonts w:ascii="Bookman Old Style" w:eastAsiaTheme="minorEastAsia" w:hAnsi="Bookman Old Style"/>
        </w:rPr>
        <w:t>,</w:t>
      </w:r>
      <w:r w:rsidRPr="00824EDF">
        <w:rPr>
          <w:rFonts w:ascii="Bookman Old Style" w:eastAsiaTheme="minorEastAsia" w:hAnsi="Bookman Old Style"/>
        </w:rPr>
        <w:t xml:space="preserve"> BESCOM has paid interest on working capital. BESCOM </w:t>
      </w:r>
      <w:r w:rsidRPr="00A4546D">
        <w:rPr>
          <w:rFonts w:ascii="Bookman Old Style" w:eastAsiaTheme="minorEastAsia" w:hAnsi="Bookman Old Style" w:cs="Arial"/>
          <w:color w:val="000000" w:themeColor="text1"/>
        </w:rPr>
        <w:t>further submits that the working capital is mainly required to meet the liabilities. Short term borrowing and over drafts for the year FY-</w:t>
      </w:r>
      <w:r w:rsidR="00D50F9D">
        <w:rPr>
          <w:rFonts w:ascii="Bookman Old Style" w:eastAsiaTheme="minorEastAsia" w:hAnsi="Bookman Old Style" w:cs="Arial"/>
          <w:color w:val="000000" w:themeColor="text1"/>
        </w:rPr>
        <w:t>20</w:t>
      </w:r>
      <w:r w:rsidRPr="00A4546D">
        <w:rPr>
          <w:rFonts w:ascii="Bookman Old Style" w:eastAsiaTheme="minorEastAsia" w:hAnsi="Bookman Old Style" w:cs="Arial"/>
          <w:color w:val="000000" w:themeColor="text1"/>
        </w:rPr>
        <w:t xml:space="preserve"> is Rs.</w:t>
      </w:r>
      <w:r w:rsidR="00D50F9D">
        <w:rPr>
          <w:rFonts w:ascii="Bookman Old Style" w:eastAsiaTheme="minorEastAsia" w:hAnsi="Bookman Old Style" w:cs="Arial"/>
          <w:color w:val="000000" w:themeColor="text1"/>
        </w:rPr>
        <w:t>4836.01</w:t>
      </w:r>
      <w:r w:rsidRPr="00A4546D">
        <w:rPr>
          <w:rFonts w:ascii="Bookman Old Style" w:eastAsiaTheme="minorEastAsia" w:hAnsi="Bookman Old Style" w:cs="Arial"/>
          <w:color w:val="000000" w:themeColor="text1"/>
        </w:rPr>
        <w:t xml:space="preserve"> Crs. BESCOM has incurred an amount of Rs </w:t>
      </w:r>
      <w:r w:rsidR="00D50F9D">
        <w:rPr>
          <w:rFonts w:ascii="Bookman Old Style" w:eastAsiaTheme="minorEastAsia" w:hAnsi="Bookman Old Style" w:cs="Arial"/>
          <w:color w:val="000000" w:themeColor="text1"/>
        </w:rPr>
        <w:t>380.25</w:t>
      </w:r>
      <w:r w:rsidRPr="00A4546D">
        <w:rPr>
          <w:rFonts w:ascii="Bookman Old Style" w:eastAsiaTheme="minorEastAsia" w:hAnsi="Bookman Old Style" w:cs="Arial"/>
          <w:color w:val="000000" w:themeColor="text1"/>
        </w:rPr>
        <w:t xml:space="preserve"> Crores towards interest on short term loans and bank overdrafts. Details are shown below:</w:t>
      </w:r>
    </w:p>
    <w:p w:rsidR="00D50F9D" w:rsidRPr="002851B1" w:rsidRDefault="00D50F9D" w:rsidP="002851B1">
      <w:pPr>
        <w:pStyle w:val="BodyText"/>
        <w:spacing w:line="360" w:lineRule="auto"/>
        <w:ind w:right="29"/>
        <w:jc w:val="both"/>
        <w:rPr>
          <w:rFonts w:ascii="Bookman Old Style" w:eastAsiaTheme="minorEastAsia" w:hAnsi="Bookman Old Style"/>
        </w:rPr>
      </w:pPr>
      <w:r w:rsidRPr="002851B1">
        <w:rPr>
          <w:rFonts w:ascii="Bookman Old Style" w:eastAsiaTheme="minorEastAsia" w:hAnsi="Bookman Old Style"/>
        </w:rPr>
        <w:t>Hon’ble Commission in its Tariff Order 2019, dated 30.05.2019 has considered only 11% as rate of interest on working capital for FY-20.</w:t>
      </w:r>
    </w:p>
    <w:p w:rsidR="00381ACE" w:rsidRPr="00824EDF" w:rsidRDefault="00381ACE" w:rsidP="00717D3E">
      <w:pPr>
        <w:spacing w:after="0" w:line="360" w:lineRule="auto"/>
        <w:ind w:right="67"/>
        <w:jc w:val="both"/>
        <w:rPr>
          <w:rFonts w:ascii="Bookman Old Style" w:hAnsi="Bookman Old Style"/>
          <w:b/>
          <w:sz w:val="24"/>
          <w:szCs w:val="24"/>
        </w:rPr>
      </w:pPr>
      <w:r w:rsidRPr="00824EDF">
        <w:rPr>
          <w:rFonts w:ascii="Bookman Old Style" w:hAnsi="Bookman Old Style"/>
          <w:b/>
          <w:sz w:val="24"/>
          <w:szCs w:val="24"/>
        </w:rPr>
        <w:t>Computed interest on working capital on normative basis is as under:</w:t>
      </w:r>
    </w:p>
    <w:p w:rsidR="00381ACE" w:rsidRDefault="00381ACE" w:rsidP="004D2832">
      <w:pPr>
        <w:spacing w:line="240" w:lineRule="auto"/>
        <w:ind w:right="67"/>
        <w:jc w:val="center"/>
        <w:rPr>
          <w:rFonts w:ascii="Bookman Old Style" w:eastAsiaTheme="minorEastAsia" w:hAnsi="Bookman Old Style" w:cs="Arial"/>
          <w:b/>
          <w:sz w:val="20"/>
          <w:szCs w:val="26"/>
        </w:rPr>
      </w:pPr>
      <w:r>
        <w:rPr>
          <w:rFonts w:ascii="Bookman Old Style" w:eastAsiaTheme="minorEastAsia" w:hAnsi="Bookman Old Style" w:cs="Arial"/>
          <w:b/>
          <w:color w:val="F2F2F2" w:themeColor="background1" w:themeShade="F2"/>
          <w:sz w:val="20"/>
          <w:szCs w:val="26"/>
        </w:rPr>
        <w:t xml:space="preserve">                           </w:t>
      </w:r>
      <w:r w:rsidR="004D2832">
        <w:rPr>
          <w:rFonts w:ascii="Bookman Old Style" w:eastAsiaTheme="minorEastAsia" w:hAnsi="Bookman Old Style" w:cs="Arial"/>
          <w:b/>
          <w:color w:val="F2F2F2" w:themeColor="background1" w:themeShade="F2"/>
          <w:sz w:val="20"/>
          <w:szCs w:val="26"/>
        </w:rPr>
        <w:t xml:space="preserve">                   </w:t>
      </w:r>
      <w:r w:rsidR="004D2832" w:rsidRPr="006537C6">
        <w:rPr>
          <w:rFonts w:ascii="Bookman Old Style" w:hAnsi="Bookman Old Style" w:cs="Calibri"/>
          <w:b/>
          <w:bCs/>
          <w:sz w:val="18"/>
          <w:lang w:eastAsia="en-IN"/>
        </w:rPr>
        <w:t>Table 3.</w:t>
      </w:r>
      <w:r w:rsidR="004D2832" w:rsidRPr="006537C6">
        <w:rPr>
          <w:rFonts w:ascii="Bookman Old Style" w:hAnsi="Bookman Old Style" w:cs="Calibri"/>
          <w:b/>
          <w:bCs/>
          <w:sz w:val="18"/>
          <w:szCs w:val="20"/>
          <w:lang w:eastAsia="en-IN"/>
        </w:rPr>
        <w:t>3</w:t>
      </w:r>
      <w:r w:rsidR="0076738E">
        <w:rPr>
          <w:rFonts w:ascii="Bookman Old Style" w:hAnsi="Bookman Old Style" w:cs="Calibri"/>
          <w:b/>
          <w:bCs/>
          <w:sz w:val="18"/>
          <w:szCs w:val="20"/>
          <w:lang w:eastAsia="en-IN"/>
        </w:rPr>
        <w:t>4</w:t>
      </w:r>
      <w:r w:rsidR="004D2832" w:rsidRPr="006537C6">
        <w:rPr>
          <w:rFonts w:ascii="Bookman Old Style" w:hAnsi="Bookman Old Style" w:cs="Calibri"/>
          <w:b/>
          <w:bCs/>
          <w:sz w:val="18"/>
          <w:szCs w:val="20"/>
          <w:lang w:eastAsia="en-IN"/>
        </w:rPr>
        <w:t xml:space="preserve">               </w:t>
      </w:r>
      <w:r w:rsidR="002851B1" w:rsidRPr="006537C6">
        <w:rPr>
          <w:rFonts w:ascii="Bookman Old Style" w:eastAsiaTheme="minorEastAsia" w:hAnsi="Bookman Old Style" w:cs="Arial"/>
          <w:b/>
          <w:sz w:val="18"/>
          <w:szCs w:val="20"/>
        </w:rPr>
        <w:t xml:space="preserve">                </w:t>
      </w:r>
      <w:r w:rsidR="004D2832" w:rsidRPr="006537C6">
        <w:rPr>
          <w:rFonts w:ascii="Bookman Old Style" w:eastAsiaTheme="minorEastAsia" w:hAnsi="Bookman Old Style" w:cs="Arial"/>
          <w:b/>
          <w:sz w:val="18"/>
          <w:szCs w:val="20"/>
        </w:rPr>
        <w:t xml:space="preserve">    Amount in Crs.</w:t>
      </w:r>
    </w:p>
    <w:tbl>
      <w:tblPr>
        <w:tblW w:w="9010" w:type="dxa"/>
        <w:jc w:val="center"/>
        <w:tblLook w:val="04A0" w:firstRow="1" w:lastRow="0" w:firstColumn="1" w:lastColumn="0" w:noHBand="0" w:noVBand="1"/>
      </w:tblPr>
      <w:tblGrid>
        <w:gridCol w:w="1033"/>
        <w:gridCol w:w="5035"/>
        <w:gridCol w:w="1393"/>
        <w:gridCol w:w="1549"/>
      </w:tblGrid>
      <w:tr w:rsidR="000372D9" w:rsidRPr="000372D9" w:rsidTr="008B0A50">
        <w:trPr>
          <w:trHeight w:val="315"/>
          <w:jc w:val="center"/>
        </w:trPr>
        <w:tc>
          <w:tcPr>
            <w:tcW w:w="1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rPr>
                <w:rFonts w:ascii="Bookman Old Style" w:eastAsia="Times New Roman" w:hAnsi="Bookman Old Style" w:cs="Calibri"/>
                <w:b/>
                <w:bCs/>
                <w:color w:val="000000"/>
                <w:lang w:eastAsia="en-IN"/>
              </w:rPr>
            </w:pPr>
            <w:r w:rsidRPr="000372D9">
              <w:rPr>
                <w:rFonts w:ascii="Bookman Old Style" w:eastAsia="Times New Roman" w:hAnsi="Bookman Old Style" w:cs="Calibri"/>
                <w:b/>
                <w:bCs/>
                <w:color w:val="000000"/>
                <w:lang w:eastAsia="en-IN"/>
              </w:rPr>
              <w:t>Sl.No</w:t>
            </w:r>
          </w:p>
        </w:tc>
        <w:tc>
          <w:tcPr>
            <w:tcW w:w="5035" w:type="dxa"/>
            <w:tcBorders>
              <w:top w:val="single" w:sz="8" w:space="0" w:color="auto"/>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rPr>
                <w:rFonts w:ascii="Bookman Old Style" w:eastAsia="Times New Roman" w:hAnsi="Bookman Old Style" w:cs="Calibri"/>
                <w:b/>
                <w:bCs/>
                <w:color w:val="000000"/>
                <w:lang w:eastAsia="en-IN"/>
              </w:rPr>
            </w:pPr>
            <w:r w:rsidRPr="000372D9">
              <w:rPr>
                <w:rFonts w:ascii="Bookman Old Style" w:eastAsia="Times New Roman" w:hAnsi="Bookman Old Style" w:cs="Calibri"/>
                <w:b/>
                <w:bCs/>
                <w:color w:val="000000"/>
                <w:lang w:eastAsia="en-IN"/>
              </w:rPr>
              <w:t>Particulars</w:t>
            </w:r>
          </w:p>
        </w:tc>
        <w:tc>
          <w:tcPr>
            <w:tcW w:w="1393" w:type="dxa"/>
            <w:tcBorders>
              <w:top w:val="single" w:sz="8" w:space="0" w:color="auto"/>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rPr>
                <w:rFonts w:ascii="Bookman Old Style" w:eastAsia="Times New Roman" w:hAnsi="Bookman Old Style" w:cs="Calibri"/>
                <w:b/>
                <w:bCs/>
                <w:color w:val="000000"/>
                <w:lang w:eastAsia="en-IN"/>
              </w:rPr>
            </w:pPr>
            <w:r w:rsidRPr="000372D9">
              <w:rPr>
                <w:rFonts w:ascii="Bookman Old Style" w:eastAsia="Times New Roman" w:hAnsi="Bookman Old Style" w:cs="Calibri"/>
                <w:b/>
                <w:bCs/>
                <w:color w:val="000000"/>
                <w:lang w:eastAsia="en-IN"/>
              </w:rPr>
              <w:t>Approved</w:t>
            </w:r>
          </w:p>
        </w:tc>
        <w:tc>
          <w:tcPr>
            <w:tcW w:w="1549" w:type="dxa"/>
            <w:tcBorders>
              <w:top w:val="single" w:sz="8" w:space="0" w:color="auto"/>
              <w:left w:val="nil"/>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rPr>
                <w:rFonts w:ascii="Bookman Old Style" w:eastAsia="Times New Roman" w:hAnsi="Bookman Old Style" w:cs="Calibri"/>
                <w:b/>
                <w:bCs/>
                <w:color w:val="000000"/>
                <w:lang w:eastAsia="en-IN"/>
              </w:rPr>
            </w:pPr>
            <w:r w:rsidRPr="000372D9">
              <w:rPr>
                <w:rFonts w:ascii="Bookman Old Style" w:eastAsia="Times New Roman" w:hAnsi="Bookman Old Style" w:cs="Calibri"/>
                <w:b/>
                <w:bCs/>
                <w:color w:val="000000"/>
                <w:lang w:eastAsia="en-IN"/>
              </w:rPr>
              <w:t>Actual</w:t>
            </w:r>
          </w:p>
        </w:tc>
      </w:tr>
      <w:tr w:rsidR="000372D9" w:rsidRPr="000372D9" w:rsidTr="008B0A50">
        <w:trPr>
          <w:trHeight w:val="315"/>
          <w:jc w:val="center"/>
        </w:trPr>
        <w:tc>
          <w:tcPr>
            <w:tcW w:w="1033" w:type="dxa"/>
            <w:tcBorders>
              <w:top w:val="nil"/>
              <w:left w:val="single" w:sz="8" w:space="0" w:color="auto"/>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eastAsia="en-IN"/>
              </w:rPr>
              <w:t>1</w:t>
            </w:r>
          </w:p>
        </w:tc>
        <w:tc>
          <w:tcPr>
            <w:tcW w:w="5035" w:type="dxa"/>
            <w:tcBorders>
              <w:top w:val="nil"/>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eastAsia="en-IN"/>
              </w:rPr>
              <w:t>One-sixth of the revenue</w:t>
            </w:r>
          </w:p>
        </w:tc>
        <w:tc>
          <w:tcPr>
            <w:tcW w:w="1393" w:type="dxa"/>
            <w:tcBorders>
              <w:top w:val="nil"/>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val="en-US" w:eastAsia="en-IN"/>
              </w:rPr>
              <w:t>3387.02</w:t>
            </w:r>
          </w:p>
        </w:tc>
        <w:tc>
          <w:tcPr>
            <w:tcW w:w="1549" w:type="dxa"/>
            <w:tcBorders>
              <w:top w:val="nil"/>
              <w:left w:val="nil"/>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val="en-US" w:eastAsia="en-IN"/>
              </w:rPr>
              <w:t>3528.45</w:t>
            </w:r>
          </w:p>
        </w:tc>
      </w:tr>
      <w:tr w:rsidR="000372D9" w:rsidRPr="000372D9" w:rsidTr="008B0A50">
        <w:trPr>
          <w:trHeight w:val="615"/>
          <w:jc w:val="center"/>
        </w:trPr>
        <w:tc>
          <w:tcPr>
            <w:tcW w:w="1033" w:type="dxa"/>
            <w:tcBorders>
              <w:top w:val="nil"/>
              <w:left w:val="single" w:sz="8" w:space="0" w:color="auto"/>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eastAsia="en-IN"/>
              </w:rPr>
              <w:t>2</w:t>
            </w:r>
          </w:p>
        </w:tc>
        <w:tc>
          <w:tcPr>
            <w:tcW w:w="5035" w:type="dxa"/>
            <w:tcBorders>
              <w:top w:val="nil"/>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eastAsia="en-IN"/>
              </w:rPr>
              <w:t>One-twelth of the amount of O&amp;M Expenses</w:t>
            </w:r>
          </w:p>
        </w:tc>
        <w:tc>
          <w:tcPr>
            <w:tcW w:w="1393" w:type="dxa"/>
            <w:tcBorders>
              <w:top w:val="nil"/>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val="en-US" w:eastAsia="en-IN"/>
              </w:rPr>
              <w:t>157.55</w:t>
            </w:r>
          </w:p>
        </w:tc>
        <w:tc>
          <w:tcPr>
            <w:tcW w:w="1549" w:type="dxa"/>
            <w:tcBorders>
              <w:top w:val="nil"/>
              <w:left w:val="nil"/>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val="en-US" w:eastAsia="en-IN"/>
              </w:rPr>
              <w:t>174.66</w:t>
            </w:r>
          </w:p>
        </w:tc>
      </w:tr>
      <w:tr w:rsidR="000372D9" w:rsidRPr="000372D9" w:rsidTr="008B0A50">
        <w:trPr>
          <w:trHeight w:val="615"/>
          <w:jc w:val="center"/>
        </w:trPr>
        <w:tc>
          <w:tcPr>
            <w:tcW w:w="1033" w:type="dxa"/>
            <w:tcBorders>
              <w:top w:val="nil"/>
              <w:left w:val="single" w:sz="8" w:space="0" w:color="auto"/>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eastAsia="en-IN"/>
              </w:rPr>
              <w:t>3</w:t>
            </w:r>
          </w:p>
        </w:tc>
        <w:tc>
          <w:tcPr>
            <w:tcW w:w="5035" w:type="dxa"/>
            <w:tcBorders>
              <w:top w:val="nil"/>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eastAsia="en-IN"/>
              </w:rPr>
              <w:t>1% of Opening Balance of Gross Fixed Assets</w:t>
            </w:r>
          </w:p>
        </w:tc>
        <w:tc>
          <w:tcPr>
            <w:tcW w:w="1393" w:type="dxa"/>
            <w:tcBorders>
              <w:top w:val="nil"/>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val="en-US" w:eastAsia="en-IN"/>
              </w:rPr>
              <w:t>132.99</w:t>
            </w:r>
          </w:p>
        </w:tc>
        <w:tc>
          <w:tcPr>
            <w:tcW w:w="1549" w:type="dxa"/>
            <w:tcBorders>
              <w:top w:val="nil"/>
              <w:left w:val="nil"/>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val="en-US" w:eastAsia="en-IN"/>
              </w:rPr>
              <w:t>147.76</w:t>
            </w:r>
          </w:p>
        </w:tc>
      </w:tr>
      <w:tr w:rsidR="000372D9" w:rsidRPr="000372D9" w:rsidTr="008B0A50">
        <w:trPr>
          <w:trHeight w:val="315"/>
          <w:jc w:val="center"/>
        </w:trPr>
        <w:tc>
          <w:tcPr>
            <w:tcW w:w="1033" w:type="dxa"/>
            <w:tcBorders>
              <w:top w:val="nil"/>
              <w:left w:val="single" w:sz="8" w:space="0" w:color="auto"/>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rPr>
                <w:rFonts w:ascii="Calibri" w:eastAsia="Times New Roman" w:hAnsi="Calibri" w:cs="Calibri"/>
                <w:color w:val="000000"/>
                <w:lang w:eastAsia="en-IN"/>
              </w:rPr>
            </w:pPr>
            <w:r w:rsidRPr="000372D9">
              <w:rPr>
                <w:rFonts w:ascii="Calibri" w:eastAsia="Times New Roman" w:hAnsi="Calibri" w:cs="Calibri"/>
                <w:color w:val="000000"/>
                <w:lang w:eastAsia="en-IN"/>
              </w:rPr>
              <w:t> </w:t>
            </w:r>
          </w:p>
        </w:tc>
        <w:tc>
          <w:tcPr>
            <w:tcW w:w="5035" w:type="dxa"/>
            <w:tcBorders>
              <w:top w:val="nil"/>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rPr>
                <w:rFonts w:ascii="Bookman Old Style" w:eastAsia="Times New Roman" w:hAnsi="Bookman Old Style" w:cs="Calibri"/>
                <w:b/>
                <w:bCs/>
                <w:color w:val="000000"/>
                <w:lang w:eastAsia="en-IN"/>
              </w:rPr>
            </w:pPr>
            <w:r w:rsidRPr="000372D9">
              <w:rPr>
                <w:rFonts w:ascii="Bookman Old Style" w:eastAsia="Times New Roman" w:hAnsi="Bookman Old Style" w:cs="Calibri"/>
                <w:b/>
                <w:bCs/>
                <w:color w:val="000000"/>
                <w:lang w:eastAsia="en-IN"/>
              </w:rPr>
              <w:t>Total</w:t>
            </w:r>
          </w:p>
        </w:tc>
        <w:tc>
          <w:tcPr>
            <w:tcW w:w="1393" w:type="dxa"/>
            <w:tcBorders>
              <w:top w:val="nil"/>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jc w:val="right"/>
              <w:rPr>
                <w:rFonts w:ascii="Bookman Old Style" w:eastAsia="Times New Roman" w:hAnsi="Bookman Old Style" w:cs="Calibri"/>
                <w:b/>
                <w:bCs/>
                <w:color w:val="000000"/>
                <w:lang w:eastAsia="en-IN"/>
              </w:rPr>
            </w:pPr>
            <w:r w:rsidRPr="000372D9">
              <w:rPr>
                <w:rFonts w:ascii="Bookman Old Style" w:eastAsia="Times New Roman" w:hAnsi="Bookman Old Style" w:cs="Calibri"/>
                <w:b/>
                <w:bCs/>
                <w:color w:val="000000"/>
                <w:lang w:val="en-US" w:eastAsia="en-IN"/>
              </w:rPr>
              <w:t>3677.56</w:t>
            </w:r>
          </w:p>
        </w:tc>
        <w:tc>
          <w:tcPr>
            <w:tcW w:w="1549" w:type="dxa"/>
            <w:tcBorders>
              <w:top w:val="nil"/>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jc w:val="right"/>
              <w:rPr>
                <w:rFonts w:ascii="Bookman Old Style" w:eastAsia="Times New Roman" w:hAnsi="Bookman Old Style" w:cs="Calibri"/>
                <w:b/>
                <w:bCs/>
                <w:color w:val="000000"/>
                <w:lang w:eastAsia="en-IN"/>
              </w:rPr>
            </w:pPr>
            <w:r w:rsidRPr="000372D9">
              <w:rPr>
                <w:rFonts w:ascii="Bookman Old Style" w:eastAsia="Times New Roman" w:hAnsi="Bookman Old Style" w:cs="Calibri"/>
                <w:b/>
                <w:bCs/>
                <w:color w:val="000000"/>
                <w:lang w:val="en-US" w:eastAsia="en-IN"/>
              </w:rPr>
              <w:t>3850.87</w:t>
            </w:r>
          </w:p>
        </w:tc>
      </w:tr>
      <w:tr w:rsidR="000372D9" w:rsidRPr="000372D9" w:rsidTr="008B0A50">
        <w:trPr>
          <w:trHeight w:val="615"/>
          <w:jc w:val="center"/>
        </w:trPr>
        <w:tc>
          <w:tcPr>
            <w:tcW w:w="1033" w:type="dxa"/>
            <w:tcBorders>
              <w:top w:val="nil"/>
              <w:left w:val="single" w:sz="8" w:space="0" w:color="auto"/>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eastAsia="en-IN"/>
              </w:rPr>
              <w:t>4</w:t>
            </w:r>
          </w:p>
        </w:tc>
        <w:tc>
          <w:tcPr>
            <w:tcW w:w="5035" w:type="dxa"/>
            <w:tcBorders>
              <w:top w:val="nil"/>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eastAsia="en-IN"/>
              </w:rPr>
              <w:t>Allowable Interest on working capital at 11.90%</w:t>
            </w:r>
          </w:p>
        </w:tc>
        <w:tc>
          <w:tcPr>
            <w:tcW w:w="1393" w:type="dxa"/>
            <w:tcBorders>
              <w:top w:val="nil"/>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themeColor="text1"/>
                <w:lang w:val="en-US" w:eastAsia="en-IN"/>
              </w:rPr>
              <w:t>404.53</w:t>
            </w:r>
          </w:p>
        </w:tc>
        <w:tc>
          <w:tcPr>
            <w:tcW w:w="1549" w:type="dxa"/>
            <w:tcBorders>
              <w:top w:val="nil"/>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themeColor="text1"/>
                <w:lang w:val="en-US" w:eastAsia="en-IN"/>
              </w:rPr>
              <w:t>458.25</w:t>
            </w:r>
          </w:p>
        </w:tc>
      </w:tr>
      <w:tr w:rsidR="000372D9" w:rsidRPr="000372D9" w:rsidTr="008B0A50">
        <w:trPr>
          <w:trHeight w:val="315"/>
          <w:jc w:val="center"/>
        </w:trPr>
        <w:tc>
          <w:tcPr>
            <w:tcW w:w="1033" w:type="dxa"/>
            <w:tcBorders>
              <w:top w:val="nil"/>
              <w:left w:val="single" w:sz="8" w:space="0" w:color="auto"/>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eastAsia="en-IN"/>
              </w:rPr>
              <w:t>5</w:t>
            </w:r>
          </w:p>
        </w:tc>
        <w:tc>
          <w:tcPr>
            <w:tcW w:w="5035" w:type="dxa"/>
            <w:tcBorders>
              <w:top w:val="nil"/>
              <w:left w:val="nil"/>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eastAsia="en-IN"/>
              </w:rPr>
              <w:t>Actual interest incurred for working capital</w:t>
            </w:r>
          </w:p>
        </w:tc>
        <w:tc>
          <w:tcPr>
            <w:tcW w:w="1393" w:type="dxa"/>
            <w:tcBorders>
              <w:top w:val="nil"/>
              <w:left w:val="nil"/>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themeColor="text1"/>
                <w:lang w:val="en-US" w:eastAsia="en-IN"/>
              </w:rPr>
              <w:t> </w:t>
            </w:r>
          </w:p>
        </w:tc>
        <w:tc>
          <w:tcPr>
            <w:tcW w:w="1549" w:type="dxa"/>
            <w:tcBorders>
              <w:top w:val="nil"/>
              <w:left w:val="nil"/>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themeColor="text1"/>
                <w:lang w:val="en-US" w:eastAsia="en-IN"/>
              </w:rPr>
              <w:t>380.25</w:t>
            </w:r>
          </w:p>
        </w:tc>
      </w:tr>
      <w:tr w:rsidR="000372D9" w:rsidRPr="000372D9" w:rsidTr="008B0A50">
        <w:trPr>
          <w:trHeight w:val="315"/>
          <w:jc w:val="center"/>
        </w:trPr>
        <w:tc>
          <w:tcPr>
            <w:tcW w:w="1033" w:type="dxa"/>
            <w:tcBorders>
              <w:top w:val="nil"/>
              <w:left w:val="single" w:sz="8" w:space="0" w:color="auto"/>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jc w:val="right"/>
              <w:rPr>
                <w:rFonts w:ascii="Bookman Old Style" w:eastAsia="Times New Roman" w:hAnsi="Bookman Old Style" w:cs="Calibri"/>
                <w:b/>
                <w:bCs/>
                <w:color w:val="000000"/>
                <w:lang w:eastAsia="en-IN"/>
              </w:rPr>
            </w:pPr>
            <w:r w:rsidRPr="000372D9">
              <w:rPr>
                <w:rFonts w:ascii="Bookman Old Style" w:eastAsia="Times New Roman" w:hAnsi="Bookman Old Style" w:cs="Calibri"/>
                <w:b/>
                <w:bCs/>
                <w:color w:val="000000"/>
                <w:lang w:eastAsia="en-IN"/>
              </w:rPr>
              <w:t>6</w:t>
            </w:r>
          </w:p>
        </w:tc>
        <w:tc>
          <w:tcPr>
            <w:tcW w:w="5035" w:type="dxa"/>
            <w:tcBorders>
              <w:top w:val="nil"/>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eastAsia="en-IN"/>
              </w:rPr>
              <w:t>Savings to the Normative  cost</w:t>
            </w:r>
          </w:p>
        </w:tc>
        <w:tc>
          <w:tcPr>
            <w:tcW w:w="1393" w:type="dxa"/>
            <w:tcBorders>
              <w:top w:val="nil"/>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themeColor="text1"/>
                <w:lang w:val="en-US" w:eastAsia="en-IN"/>
              </w:rPr>
              <w:t> </w:t>
            </w:r>
          </w:p>
        </w:tc>
        <w:tc>
          <w:tcPr>
            <w:tcW w:w="1549" w:type="dxa"/>
            <w:tcBorders>
              <w:top w:val="nil"/>
              <w:left w:val="nil"/>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themeColor="text1"/>
                <w:lang w:val="en-US" w:eastAsia="en-IN"/>
              </w:rPr>
              <w:t>78</w:t>
            </w:r>
          </w:p>
        </w:tc>
      </w:tr>
      <w:tr w:rsidR="000372D9" w:rsidRPr="000372D9" w:rsidTr="008B0A50">
        <w:trPr>
          <w:trHeight w:val="915"/>
          <w:jc w:val="center"/>
        </w:trPr>
        <w:tc>
          <w:tcPr>
            <w:tcW w:w="1033" w:type="dxa"/>
            <w:tcBorders>
              <w:top w:val="nil"/>
              <w:left w:val="single" w:sz="8" w:space="0" w:color="auto"/>
              <w:bottom w:val="single" w:sz="8" w:space="0" w:color="auto"/>
              <w:right w:val="single" w:sz="8" w:space="0" w:color="auto"/>
            </w:tcBorders>
            <w:shd w:val="clear" w:color="auto" w:fill="auto"/>
            <w:noWrap/>
            <w:vAlign w:val="center"/>
            <w:hideMark/>
          </w:tcPr>
          <w:p w:rsidR="000372D9" w:rsidRPr="000372D9" w:rsidRDefault="000372D9" w:rsidP="000372D9">
            <w:pPr>
              <w:spacing w:after="0" w:line="240" w:lineRule="auto"/>
              <w:jc w:val="right"/>
              <w:rPr>
                <w:rFonts w:ascii="Bookman Old Style" w:eastAsia="Times New Roman" w:hAnsi="Bookman Old Style" w:cs="Calibri"/>
                <w:color w:val="000000"/>
                <w:lang w:eastAsia="en-IN"/>
              </w:rPr>
            </w:pPr>
            <w:r w:rsidRPr="000372D9">
              <w:rPr>
                <w:rFonts w:ascii="Bookman Old Style" w:eastAsia="Times New Roman" w:hAnsi="Bookman Old Style" w:cs="Calibri"/>
                <w:color w:val="000000"/>
                <w:lang w:eastAsia="en-IN"/>
              </w:rPr>
              <w:t>7</w:t>
            </w:r>
          </w:p>
        </w:tc>
        <w:tc>
          <w:tcPr>
            <w:tcW w:w="5035" w:type="dxa"/>
            <w:tcBorders>
              <w:top w:val="nil"/>
              <w:left w:val="nil"/>
              <w:bottom w:val="single" w:sz="8" w:space="0" w:color="auto"/>
              <w:right w:val="single" w:sz="8" w:space="0" w:color="auto"/>
            </w:tcBorders>
            <w:shd w:val="clear" w:color="auto" w:fill="auto"/>
            <w:vAlign w:val="center"/>
            <w:hideMark/>
          </w:tcPr>
          <w:p w:rsidR="000372D9" w:rsidRDefault="000372D9" w:rsidP="000372D9">
            <w:pPr>
              <w:spacing w:after="0" w:line="240" w:lineRule="auto"/>
              <w:rPr>
                <w:rFonts w:ascii="Bookman Old Style" w:eastAsia="Times New Roman" w:hAnsi="Bookman Old Style" w:cs="Calibri"/>
                <w:b/>
                <w:bCs/>
                <w:color w:val="000000"/>
                <w:lang w:eastAsia="en-IN"/>
              </w:rPr>
            </w:pPr>
            <w:r w:rsidRPr="000372D9">
              <w:rPr>
                <w:rFonts w:ascii="Bookman Old Style" w:eastAsia="Times New Roman" w:hAnsi="Bookman Old Style" w:cs="Calibri"/>
                <w:b/>
                <w:bCs/>
                <w:color w:val="000000"/>
                <w:lang w:eastAsia="en-IN"/>
              </w:rPr>
              <w:t xml:space="preserve">Allowable interest on working capital </w:t>
            </w:r>
            <w:r>
              <w:rPr>
                <w:rFonts w:ascii="Bookman Old Style" w:eastAsia="Times New Roman" w:hAnsi="Bookman Old Style" w:cs="Calibri"/>
                <w:b/>
                <w:bCs/>
                <w:color w:val="000000"/>
                <w:lang w:eastAsia="en-IN"/>
              </w:rPr>
              <w:t>(50% of savings+ actual cost)</w:t>
            </w:r>
          </w:p>
          <w:p w:rsidR="000372D9" w:rsidRPr="000372D9" w:rsidRDefault="000372D9" w:rsidP="000372D9">
            <w:pPr>
              <w:spacing w:after="0" w:line="240" w:lineRule="auto"/>
              <w:rPr>
                <w:rFonts w:ascii="Bookman Old Style" w:eastAsia="Times New Roman" w:hAnsi="Bookman Old Style" w:cs="Calibri"/>
                <w:b/>
                <w:bCs/>
                <w:color w:val="000000"/>
                <w:lang w:eastAsia="en-IN"/>
              </w:rPr>
            </w:pPr>
            <w:r>
              <w:rPr>
                <w:rFonts w:ascii="Bookman Old Style" w:eastAsia="Times New Roman" w:hAnsi="Bookman Old Style" w:cs="Calibri"/>
                <w:b/>
                <w:bCs/>
                <w:color w:val="000000"/>
                <w:lang w:eastAsia="en-IN"/>
              </w:rPr>
              <w:t>(</w:t>
            </w:r>
            <w:r w:rsidRPr="000372D9">
              <w:rPr>
                <w:rFonts w:ascii="Bookman Old Style" w:eastAsia="Times New Roman" w:hAnsi="Bookman Old Style" w:cs="Calibri"/>
                <w:b/>
                <w:bCs/>
                <w:color w:val="000000"/>
                <w:lang w:eastAsia="en-IN"/>
              </w:rPr>
              <w:t>As per  amended version)</w:t>
            </w:r>
          </w:p>
        </w:tc>
        <w:tc>
          <w:tcPr>
            <w:tcW w:w="1393" w:type="dxa"/>
            <w:tcBorders>
              <w:top w:val="nil"/>
              <w:left w:val="nil"/>
              <w:bottom w:val="single" w:sz="8" w:space="0" w:color="auto"/>
              <w:right w:val="single" w:sz="8" w:space="0" w:color="auto"/>
            </w:tcBorders>
            <w:shd w:val="clear" w:color="auto" w:fill="auto"/>
            <w:vAlign w:val="center"/>
            <w:hideMark/>
          </w:tcPr>
          <w:p w:rsidR="000372D9" w:rsidRPr="000372D9" w:rsidRDefault="000372D9" w:rsidP="000372D9">
            <w:pPr>
              <w:spacing w:after="0" w:line="240" w:lineRule="auto"/>
              <w:jc w:val="right"/>
              <w:rPr>
                <w:rFonts w:ascii="Bookman Old Style" w:eastAsia="Times New Roman" w:hAnsi="Bookman Old Style" w:cs="Calibri"/>
                <w:b/>
                <w:bCs/>
                <w:color w:val="000000"/>
                <w:lang w:eastAsia="en-IN"/>
              </w:rPr>
            </w:pPr>
            <w:r w:rsidRPr="000372D9">
              <w:rPr>
                <w:rFonts w:ascii="Bookman Old Style" w:eastAsia="Times New Roman" w:hAnsi="Bookman Old Style" w:cs="Calibri"/>
                <w:b/>
                <w:bCs/>
                <w:color w:val="000000" w:themeColor="text1"/>
                <w:lang w:val="en-US" w:eastAsia="en-IN"/>
              </w:rPr>
              <w:t> </w:t>
            </w:r>
          </w:p>
        </w:tc>
        <w:tc>
          <w:tcPr>
            <w:tcW w:w="1549" w:type="dxa"/>
            <w:tcBorders>
              <w:top w:val="nil"/>
              <w:left w:val="nil"/>
              <w:bottom w:val="single" w:sz="8" w:space="0" w:color="auto"/>
              <w:right w:val="single" w:sz="8" w:space="0" w:color="auto"/>
            </w:tcBorders>
            <w:shd w:val="clear" w:color="auto" w:fill="auto"/>
            <w:noWrap/>
            <w:vAlign w:val="center"/>
            <w:hideMark/>
          </w:tcPr>
          <w:p w:rsidR="000372D9" w:rsidRPr="000372D9" w:rsidRDefault="000372D9" w:rsidP="0076738E">
            <w:pPr>
              <w:spacing w:after="0" w:line="240" w:lineRule="auto"/>
              <w:jc w:val="right"/>
              <w:rPr>
                <w:rFonts w:ascii="Bookman Old Style" w:eastAsia="Times New Roman" w:hAnsi="Bookman Old Style" w:cs="Calibri"/>
                <w:b/>
                <w:bCs/>
                <w:color w:val="000000"/>
                <w:lang w:eastAsia="en-IN"/>
              </w:rPr>
            </w:pPr>
            <w:r w:rsidRPr="000372D9">
              <w:rPr>
                <w:rFonts w:ascii="Bookman Old Style" w:eastAsia="Times New Roman" w:hAnsi="Bookman Old Style" w:cs="Calibri"/>
                <w:b/>
                <w:bCs/>
                <w:color w:val="000000" w:themeColor="text1"/>
                <w:lang w:val="en-US" w:eastAsia="en-IN"/>
              </w:rPr>
              <w:t>4</w:t>
            </w:r>
            <w:r w:rsidR="0076738E">
              <w:rPr>
                <w:rFonts w:ascii="Bookman Old Style" w:eastAsia="Times New Roman" w:hAnsi="Bookman Old Style" w:cs="Calibri"/>
                <w:b/>
                <w:bCs/>
                <w:color w:val="000000" w:themeColor="text1"/>
                <w:lang w:val="en-US" w:eastAsia="en-IN"/>
              </w:rPr>
              <w:t>1</w:t>
            </w:r>
            <w:r w:rsidRPr="000372D9">
              <w:rPr>
                <w:rFonts w:ascii="Bookman Old Style" w:eastAsia="Times New Roman" w:hAnsi="Bookman Old Style" w:cs="Calibri"/>
                <w:b/>
                <w:bCs/>
                <w:color w:val="000000" w:themeColor="text1"/>
                <w:lang w:val="en-US" w:eastAsia="en-IN"/>
              </w:rPr>
              <w:t>9.25</w:t>
            </w:r>
          </w:p>
        </w:tc>
      </w:tr>
    </w:tbl>
    <w:p w:rsidR="00381ACE" w:rsidRDefault="00381ACE" w:rsidP="00717D3E">
      <w:pPr>
        <w:ind w:right="67"/>
        <w:jc w:val="both"/>
        <w:rPr>
          <w:rFonts w:ascii="Bookman Old Style" w:eastAsiaTheme="minorEastAsia" w:hAnsi="Bookman Old Style" w:cs="Arial"/>
          <w:sz w:val="20"/>
          <w:szCs w:val="26"/>
        </w:rPr>
      </w:pPr>
    </w:p>
    <w:p w:rsidR="00381ACE" w:rsidRPr="00A4546D" w:rsidRDefault="00381ACE" w:rsidP="00717D3E">
      <w:pPr>
        <w:spacing w:line="360" w:lineRule="auto"/>
        <w:ind w:right="67"/>
        <w:jc w:val="both"/>
        <w:rPr>
          <w:rFonts w:ascii="Bookman Old Style" w:eastAsiaTheme="minorEastAsia" w:hAnsi="Bookman Old Style" w:cs="Arial"/>
          <w:color w:val="000000" w:themeColor="text1"/>
        </w:rPr>
      </w:pPr>
      <w:r w:rsidRPr="00A4546D">
        <w:rPr>
          <w:rFonts w:ascii="Bookman Old Style" w:eastAsiaTheme="minorEastAsia" w:hAnsi="Bookman Old Style" w:cs="Arial"/>
          <w:color w:val="000000" w:themeColor="text1"/>
        </w:rPr>
        <w:t xml:space="preserve">As per KERC (Terms and Conditions for determination of Tariff for Distribution and Retail sale electricity (second amendment), Regulations 2015, it is stated that </w:t>
      </w:r>
    </w:p>
    <w:p w:rsidR="00381ACE" w:rsidRPr="00206A79" w:rsidRDefault="00381ACE" w:rsidP="00A4546D">
      <w:pPr>
        <w:spacing w:line="360" w:lineRule="auto"/>
        <w:ind w:left="567" w:right="634"/>
        <w:jc w:val="both"/>
        <w:rPr>
          <w:rFonts w:ascii="Bookman Old Style" w:eastAsiaTheme="minorEastAsia" w:hAnsi="Bookman Old Style" w:cs="Arial"/>
          <w:i/>
        </w:rPr>
      </w:pPr>
      <w:r w:rsidRPr="00206A79">
        <w:rPr>
          <w:rFonts w:ascii="Bookman Old Style" w:eastAsiaTheme="minorEastAsia" w:hAnsi="Bookman Old Style" w:cs="Arial"/>
          <w:i/>
        </w:rPr>
        <w:t>“Provided that, during Annual Performance Review, the Commission shall consider the allowable interest on working capital calculated on normative basis at the available base rate of interest as on 1</w:t>
      </w:r>
      <w:r w:rsidRPr="00206A79">
        <w:rPr>
          <w:rFonts w:ascii="Bookman Old Style" w:eastAsiaTheme="minorEastAsia" w:hAnsi="Bookman Old Style" w:cs="Arial"/>
          <w:i/>
          <w:vertAlign w:val="superscript"/>
        </w:rPr>
        <w:t>st</w:t>
      </w:r>
      <w:r w:rsidRPr="00206A79">
        <w:rPr>
          <w:rFonts w:ascii="Bookman Old Style" w:eastAsiaTheme="minorEastAsia" w:hAnsi="Bookman Old Style" w:cs="Arial"/>
          <w:i/>
        </w:rPr>
        <w:t xml:space="preserve"> April of the financial year as notified by RBI plus 250 basis points. If the actual expenditure is less than the normative amount, the allowable interest on working capital shall be limited to actual expenditure plus fifty percent of the difference between the actual expenditure and the amount as calculated on normative basis.”</w:t>
      </w:r>
    </w:p>
    <w:p w:rsidR="00381ACE" w:rsidRDefault="00381ACE" w:rsidP="00717D3E">
      <w:pPr>
        <w:spacing w:line="360" w:lineRule="auto"/>
        <w:ind w:right="67"/>
        <w:jc w:val="both"/>
        <w:rPr>
          <w:rFonts w:ascii="Bookman Old Style" w:eastAsiaTheme="minorEastAsia" w:hAnsi="Bookman Old Style" w:cs="Arial"/>
          <w:szCs w:val="26"/>
        </w:rPr>
      </w:pPr>
      <w:r w:rsidRPr="00F23BD3">
        <w:rPr>
          <w:rFonts w:ascii="Bookman Old Style" w:eastAsiaTheme="minorEastAsia" w:hAnsi="Bookman Old Style" w:cs="Arial"/>
          <w:szCs w:val="26"/>
        </w:rPr>
        <w:lastRenderedPageBreak/>
        <w:t>As per RBI notification Base Rate for April 2020: Min 8.</w:t>
      </w:r>
      <w:r>
        <w:rPr>
          <w:rFonts w:ascii="Bookman Old Style" w:eastAsiaTheme="minorEastAsia" w:hAnsi="Bookman Old Style" w:cs="Arial"/>
          <w:szCs w:val="26"/>
        </w:rPr>
        <w:t>1</w:t>
      </w:r>
      <w:r w:rsidRPr="00F23BD3">
        <w:rPr>
          <w:rFonts w:ascii="Bookman Old Style" w:eastAsiaTheme="minorEastAsia" w:hAnsi="Bookman Old Style" w:cs="Arial"/>
          <w:szCs w:val="26"/>
        </w:rPr>
        <w:t>5% and Max 9.40% (9.40% + 250 points =11.9%)</w:t>
      </w:r>
      <w:r>
        <w:rPr>
          <w:rFonts w:ascii="Bookman Old Style" w:eastAsiaTheme="minorEastAsia" w:hAnsi="Bookman Old Style" w:cs="Arial"/>
          <w:szCs w:val="26"/>
        </w:rPr>
        <w:t xml:space="preserve">. The allowable interest on working capital as per the regulation is 11.90%. </w:t>
      </w:r>
    </w:p>
    <w:p w:rsidR="00381ACE" w:rsidRDefault="00381ACE" w:rsidP="00717D3E">
      <w:pPr>
        <w:spacing w:line="360" w:lineRule="auto"/>
        <w:ind w:right="67"/>
        <w:jc w:val="both"/>
        <w:rPr>
          <w:rFonts w:ascii="Bookman Old Style" w:eastAsiaTheme="minorEastAsia" w:hAnsi="Bookman Old Style" w:cs="Arial"/>
          <w:szCs w:val="26"/>
        </w:rPr>
      </w:pPr>
      <w:r>
        <w:rPr>
          <w:rFonts w:ascii="Bookman Old Style" w:eastAsiaTheme="minorEastAsia" w:hAnsi="Bookman Old Style" w:cs="Arial"/>
          <w:szCs w:val="26"/>
        </w:rPr>
        <w:t xml:space="preserve">The Hon’ble Commission in its Tariff Order 2019, dtd 30.05.2019 has considered MCLR for loan with </w:t>
      </w:r>
      <w:r w:rsidR="000A1A44">
        <w:rPr>
          <w:rFonts w:ascii="Bookman Old Style" w:eastAsiaTheme="minorEastAsia" w:hAnsi="Bookman Old Style" w:cs="Arial"/>
          <w:szCs w:val="26"/>
        </w:rPr>
        <w:t>tenure</w:t>
      </w:r>
      <w:r>
        <w:rPr>
          <w:rFonts w:ascii="Bookman Old Style" w:eastAsiaTheme="minorEastAsia" w:hAnsi="Bookman Old Style" w:cs="Arial"/>
          <w:szCs w:val="26"/>
        </w:rPr>
        <w:t xml:space="preserve"> of one year as 8.55%, considered interest on working capital at 11% per annum for FY-20 to FY-22.</w:t>
      </w:r>
    </w:p>
    <w:p w:rsidR="00381ACE" w:rsidRPr="00DB26B4" w:rsidRDefault="00381ACE" w:rsidP="00DB26B4">
      <w:pPr>
        <w:spacing w:line="360" w:lineRule="auto"/>
        <w:ind w:right="67"/>
        <w:jc w:val="both"/>
        <w:rPr>
          <w:rFonts w:ascii="Bookman Old Style" w:eastAsiaTheme="minorEastAsia" w:hAnsi="Bookman Old Style" w:cs="Arial"/>
          <w:szCs w:val="26"/>
        </w:rPr>
      </w:pPr>
      <w:r w:rsidRPr="00DB26B4">
        <w:rPr>
          <w:rFonts w:ascii="Bookman Old Style" w:eastAsiaTheme="minorEastAsia" w:hAnsi="Bookman Old Style" w:cs="Arial"/>
          <w:szCs w:val="26"/>
        </w:rPr>
        <w:t>BESCOM requests the Hon’ble Commission to allow interest on working capital on normative basis calculated as per RBI base rate which works out to Rs.</w:t>
      </w:r>
      <w:r w:rsidR="0076738E">
        <w:rPr>
          <w:rFonts w:ascii="Bookman Old Style" w:eastAsiaTheme="minorEastAsia" w:hAnsi="Bookman Old Style" w:cs="Arial"/>
          <w:szCs w:val="26"/>
        </w:rPr>
        <w:t>419.25</w:t>
      </w:r>
      <w:r w:rsidRPr="00DB26B4">
        <w:rPr>
          <w:rFonts w:ascii="Bookman Old Style" w:eastAsiaTheme="minorEastAsia" w:hAnsi="Bookman Old Style" w:cs="Arial"/>
          <w:szCs w:val="26"/>
        </w:rPr>
        <w:t xml:space="preserve"> Crs.</w:t>
      </w:r>
    </w:p>
    <w:p w:rsidR="00381ACE" w:rsidRPr="00824EDF" w:rsidRDefault="00381ACE" w:rsidP="00717D3E">
      <w:pPr>
        <w:spacing w:line="360" w:lineRule="auto"/>
        <w:ind w:right="67"/>
        <w:jc w:val="both"/>
        <w:rPr>
          <w:rFonts w:ascii="Bookman Old Style" w:eastAsiaTheme="minorEastAsia" w:hAnsi="Bookman Old Style" w:cs="Arial"/>
          <w:b/>
          <w:sz w:val="28"/>
          <w:szCs w:val="24"/>
        </w:rPr>
      </w:pPr>
      <w:r w:rsidRPr="00824EDF">
        <w:rPr>
          <w:rFonts w:ascii="Bookman Old Style" w:eastAsiaTheme="minorEastAsia" w:hAnsi="Bookman Old Style" w:cs="Arial"/>
          <w:b/>
          <w:sz w:val="28"/>
          <w:szCs w:val="24"/>
        </w:rPr>
        <w:t>Interest on consumer Security Deposit:</w:t>
      </w:r>
    </w:p>
    <w:p w:rsidR="00381ACE" w:rsidRPr="00824EDF" w:rsidRDefault="00381ACE" w:rsidP="00717D3E">
      <w:pPr>
        <w:spacing w:line="360" w:lineRule="auto"/>
        <w:ind w:right="67"/>
        <w:jc w:val="both"/>
        <w:rPr>
          <w:rFonts w:ascii="Bookman Old Style" w:eastAsia="Century Gothic" w:hAnsi="Bookman Old Style" w:cs="Century Gothic"/>
        </w:rPr>
      </w:pPr>
      <w:r w:rsidRPr="00824EDF">
        <w:rPr>
          <w:rFonts w:ascii="Bookman Old Style" w:eastAsia="Century Gothic" w:hAnsi="Bookman Old Style" w:cs="Century Gothic"/>
        </w:rPr>
        <w:t>In accordance with the KERC (Interest on Security Deposit) Regulations 2005, the interest rate on consumer security deposit to be allowed is the bank rate prevailing on the 1</w:t>
      </w:r>
      <w:r w:rsidRPr="00824EDF">
        <w:rPr>
          <w:rFonts w:ascii="Bookman Old Style" w:eastAsia="Century Gothic" w:hAnsi="Bookman Old Style" w:cs="Century Gothic"/>
          <w:vertAlign w:val="superscript"/>
        </w:rPr>
        <w:t>st</w:t>
      </w:r>
      <w:r w:rsidR="00A4546D">
        <w:rPr>
          <w:rFonts w:ascii="Bookman Old Style" w:eastAsia="Century Gothic" w:hAnsi="Bookman Old Style" w:cs="Century Gothic"/>
          <w:vertAlign w:val="superscript"/>
        </w:rPr>
        <w:t xml:space="preserve"> </w:t>
      </w:r>
      <w:r w:rsidRPr="00824EDF">
        <w:rPr>
          <w:rFonts w:ascii="Bookman Old Style" w:eastAsia="Century Gothic" w:hAnsi="Bookman Old Style" w:cs="Century Gothic"/>
        </w:rPr>
        <w:t xml:space="preserve">of April of the financial year for which interest is due. As per Reserve Bank of India notification dated </w:t>
      </w:r>
      <w:r w:rsidR="002D0D27" w:rsidRPr="00824EDF">
        <w:rPr>
          <w:rFonts w:ascii="Bookman Old Style" w:eastAsia="Century Gothic" w:hAnsi="Bookman Old Style" w:cs="Century Gothic"/>
        </w:rPr>
        <w:t>1</w:t>
      </w:r>
      <w:r w:rsidR="002D0D27" w:rsidRPr="008D17E2">
        <w:rPr>
          <w:rFonts w:ascii="Bookman Old Style" w:eastAsia="Century Gothic" w:hAnsi="Bookman Old Style" w:cs="Century Gothic"/>
          <w:vertAlign w:val="superscript"/>
        </w:rPr>
        <w:t>st</w:t>
      </w:r>
      <w:r w:rsidR="002D0D27">
        <w:rPr>
          <w:rFonts w:ascii="Bookman Old Style" w:eastAsia="Century Gothic" w:hAnsi="Bookman Old Style" w:cs="Century Gothic"/>
        </w:rPr>
        <w:t xml:space="preserve"> </w:t>
      </w:r>
      <w:r w:rsidR="002D0D27" w:rsidRPr="00824EDF">
        <w:rPr>
          <w:rFonts w:ascii="Bookman Old Style" w:eastAsia="Century Gothic" w:hAnsi="Bookman Old Style" w:cs="Century Gothic"/>
        </w:rPr>
        <w:t>April</w:t>
      </w:r>
      <w:r w:rsidRPr="00824EDF">
        <w:rPr>
          <w:rFonts w:ascii="Bookman Old Style" w:eastAsia="Century Gothic" w:hAnsi="Bookman Old Style" w:cs="Century Gothic"/>
        </w:rPr>
        <w:t>, 201</w:t>
      </w:r>
      <w:r>
        <w:rPr>
          <w:rFonts w:ascii="Bookman Old Style" w:eastAsia="Century Gothic" w:hAnsi="Bookman Old Style" w:cs="Century Gothic"/>
        </w:rPr>
        <w:t>9</w:t>
      </w:r>
      <w:r w:rsidRPr="00824EDF">
        <w:rPr>
          <w:rFonts w:ascii="Bookman Old Style" w:eastAsia="Century Gothic" w:hAnsi="Bookman Old Style" w:cs="Century Gothic"/>
        </w:rPr>
        <w:t>, notified bank rate as</w:t>
      </w:r>
      <w:r>
        <w:rPr>
          <w:rFonts w:ascii="Bookman Old Style" w:eastAsia="Century Gothic" w:hAnsi="Bookman Old Style" w:cs="Century Gothic"/>
        </w:rPr>
        <w:t xml:space="preserve"> </w:t>
      </w:r>
      <w:r w:rsidRPr="00824EDF">
        <w:rPr>
          <w:rFonts w:ascii="Bookman Old Style" w:eastAsia="Century Gothic" w:hAnsi="Bookman Old Style" w:cs="Century Gothic"/>
        </w:rPr>
        <w:t>6.</w:t>
      </w:r>
      <w:r>
        <w:rPr>
          <w:rFonts w:ascii="Bookman Old Style" w:eastAsia="Century Gothic" w:hAnsi="Bookman Old Style" w:cs="Century Gothic"/>
        </w:rPr>
        <w:t>50</w:t>
      </w:r>
      <w:r w:rsidRPr="00824EDF">
        <w:rPr>
          <w:rFonts w:ascii="Bookman Old Style" w:eastAsia="Century Gothic" w:hAnsi="Bookman Old Style" w:cs="Century Gothic"/>
        </w:rPr>
        <w:t xml:space="preserve">%. </w:t>
      </w:r>
    </w:p>
    <w:p w:rsidR="00381ACE" w:rsidRDefault="00381ACE" w:rsidP="00717D3E">
      <w:pPr>
        <w:spacing w:line="360" w:lineRule="auto"/>
        <w:ind w:right="67"/>
        <w:jc w:val="both"/>
        <w:rPr>
          <w:rFonts w:ascii="Bookman Old Style" w:eastAsia="Century Gothic" w:hAnsi="Bookman Old Style" w:cs="Century Gothic"/>
        </w:rPr>
      </w:pPr>
      <w:r w:rsidRPr="00824EDF">
        <w:rPr>
          <w:rFonts w:ascii="Bookman Old Style" w:eastAsia="Century Gothic" w:hAnsi="Bookman Old Style" w:cs="Century Gothic"/>
        </w:rPr>
        <w:t>Actual interest paid to consumer security deposit against the approved is tabulated below:</w:t>
      </w:r>
    </w:p>
    <w:p w:rsidR="00381ACE" w:rsidRPr="006537C6" w:rsidRDefault="004D2832" w:rsidP="004D2832">
      <w:pPr>
        <w:spacing w:line="360" w:lineRule="auto"/>
        <w:ind w:right="67"/>
        <w:jc w:val="center"/>
        <w:rPr>
          <w:rFonts w:ascii="Bookman Old Style" w:eastAsiaTheme="minorEastAsia" w:hAnsi="Bookman Old Style" w:cs="Arial"/>
          <w:b/>
          <w:sz w:val="18"/>
          <w:szCs w:val="26"/>
        </w:rPr>
      </w:pPr>
      <w:r>
        <w:rPr>
          <w:rFonts w:ascii="Bookman Old Style" w:hAnsi="Bookman Old Style" w:cs="Calibri"/>
          <w:b/>
          <w:bCs/>
          <w:sz w:val="20"/>
          <w:lang w:eastAsia="en-IN"/>
        </w:rPr>
        <w:t xml:space="preserve">                                         </w:t>
      </w:r>
      <w:r w:rsidRPr="006537C6">
        <w:rPr>
          <w:rFonts w:ascii="Bookman Old Style" w:hAnsi="Bookman Old Style" w:cs="Calibri"/>
          <w:b/>
          <w:bCs/>
          <w:sz w:val="18"/>
          <w:lang w:eastAsia="en-IN"/>
        </w:rPr>
        <w:t>Table 3.</w:t>
      </w:r>
      <w:r w:rsidRPr="006537C6">
        <w:rPr>
          <w:rFonts w:ascii="Bookman Old Style" w:hAnsi="Bookman Old Style" w:cs="Calibri"/>
          <w:b/>
          <w:bCs/>
          <w:sz w:val="18"/>
          <w:szCs w:val="20"/>
          <w:lang w:eastAsia="en-IN"/>
        </w:rPr>
        <w:t>3</w:t>
      </w:r>
      <w:r w:rsidR="0076738E">
        <w:rPr>
          <w:rFonts w:ascii="Bookman Old Style" w:hAnsi="Bookman Old Style" w:cs="Calibri"/>
          <w:b/>
          <w:bCs/>
          <w:sz w:val="18"/>
          <w:szCs w:val="20"/>
          <w:lang w:eastAsia="en-IN"/>
        </w:rPr>
        <w:t>5</w:t>
      </w:r>
      <w:r w:rsidRPr="006537C6">
        <w:rPr>
          <w:rFonts w:ascii="Bookman Old Style" w:hAnsi="Bookman Old Style" w:cs="Calibri"/>
          <w:b/>
          <w:bCs/>
          <w:sz w:val="18"/>
          <w:szCs w:val="20"/>
          <w:lang w:eastAsia="en-IN"/>
        </w:rPr>
        <w:t xml:space="preserve">              </w:t>
      </w:r>
      <w:r w:rsidRPr="006537C6">
        <w:rPr>
          <w:rFonts w:ascii="Bookman Old Style" w:eastAsiaTheme="minorEastAsia" w:hAnsi="Bookman Old Style" w:cs="Arial"/>
          <w:b/>
          <w:sz w:val="18"/>
          <w:szCs w:val="20"/>
        </w:rPr>
        <w:t xml:space="preserve">                Amount in Crs.</w:t>
      </w:r>
    </w:p>
    <w:tbl>
      <w:tblPr>
        <w:tblW w:w="8006" w:type="dxa"/>
        <w:jc w:val="center"/>
        <w:tblLook w:val="04A0" w:firstRow="1" w:lastRow="0" w:firstColumn="1" w:lastColumn="0" w:noHBand="0" w:noVBand="1"/>
      </w:tblPr>
      <w:tblGrid>
        <w:gridCol w:w="5209"/>
        <w:gridCol w:w="1466"/>
        <w:gridCol w:w="1331"/>
      </w:tblGrid>
      <w:tr w:rsidR="00381ACE" w:rsidRPr="00BD77E2" w:rsidTr="00D50F9D">
        <w:trPr>
          <w:trHeight w:val="337"/>
          <w:jc w:val="center"/>
        </w:trPr>
        <w:tc>
          <w:tcPr>
            <w:tcW w:w="5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BD77E2" w:rsidRDefault="00381ACE" w:rsidP="00D1177B">
            <w:pPr>
              <w:spacing w:after="0" w:line="240" w:lineRule="auto"/>
              <w:ind w:right="67"/>
              <w:rPr>
                <w:rFonts w:ascii="Bookman Old Style" w:hAnsi="Bookman Old Style" w:cs="Calibri"/>
                <w:b/>
                <w:bCs/>
                <w:szCs w:val="20"/>
                <w:lang w:eastAsia="en-IN"/>
              </w:rPr>
            </w:pPr>
            <w:r w:rsidRPr="00BD77E2">
              <w:rPr>
                <w:rFonts w:ascii="Bookman Old Style" w:hAnsi="Bookman Old Style" w:cs="Calibri"/>
                <w:b/>
                <w:bCs/>
                <w:szCs w:val="20"/>
                <w:lang w:eastAsia="en-IN"/>
              </w:rPr>
              <w:t>Particulars</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381ACE" w:rsidRPr="00BD77E2" w:rsidRDefault="00381ACE" w:rsidP="00D1177B">
            <w:pPr>
              <w:spacing w:after="0" w:line="240" w:lineRule="auto"/>
              <w:ind w:right="67"/>
              <w:rPr>
                <w:rFonts w:ascii="Bookman Old Style" w:hAnsi="Bookman Old Style" w:cs="Calibri"/>
                <w:b/>
                <w:szCs w:val="20"/>
                <w:lang w:eastAsia="en-IN"/>
              </w:rPr>
            </w:pPr>
            <w:r w:rsidRPr="00BD77E2">
              <w:rPr>
                <w:rFonts w:ascii="Bookman Old Style" w:hAnsi="Bookman Old Style" w:cs="Calibri"/>
                <w:b/>
                <w:szCs w:val="20"/>
                <w:lang w:eastAsia="en-IN"/>
              </w:rPr>
              <w:t>Approved</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381ACE" w:rsidRPr="00BD77E2" w:rsidRDefault="00381ACE" w:rsidP="00D1177B">
            <w:pPr>
              <w:spacing w:after="0" w:line="240" w:lineRule="auto"/>
              <w:ind w:right="67"/>
              <w:rPr>
                <w:rFonts w:ascii="Bookman Old Style" w:hAnsi="Bookman Old Style" w:cs="Calibri"/>
                <w:b/>
                <w:szCs w:val="20"/>
                <w:lang w:eastAsia="en-IN"/>
              </w:rPr>
            </w:pPr>
            <w:r w:rsidRPr="00BD77E2">
              <w:rPr>
                <w:rFonts w:ascii="Bookman Old Style" w:hAnsi="Bookman Old Style" w:cs="Calibri"/>
                <w:b/>
                <w:szCs w:val="20"/>
                <w:lang w:eastAsia="en-IN"/>
              </w:rPr>
              <w:t>Actuals</w:t>
            </w:r>
          </w:p>
        </w:tc>
      </w:tr>
      <w:tr w:rsidR="00381ACE" w:rsidRPr="00BD77E2" w:rsidTr="00D50F9D">
        <w:trPr>
          <w:trHeight w:val="449"/>
          <w:jc w:val="center"/>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381ACE" w:rsidRPr="00BD77E2" w:rsidRDefault="00381ACE" w:rsidP="00D1177B">
            <w:pPr>
              <w:spacing w:after="0" w:line="240" w:lineRule="auto"/>
              <w:ind w:right="67"/>
              <w:rPr>
                <w:rFonts w:ascii="Bookman Old Style" w:hAnsi="Bookman Old Style" w:cs="Calibri"/>
                <w:szCs w:val="20"/>
                <w:lang w:eastAsia="en-IN"/>
              </w:rPr>
            </w:pPr>
            <w:r w:rsidRPr="00BD77E2">
              <w:rPr>
                <w:rFonts w:ascii="Bookman Old Style" w:hAnsi="Bookman Old Style" w:cs="Calibri"/>
                <w:szCs w:val="20"/>
                <w:lang w:eastAsia="en-IN"/>
              </w:rPr>
              <w:t>Open balance of Con</w:t>
            </w:r>
            <w:r w:rsidR="00D50F9D">
              <w:rPr>
                <w:rFonts w:ascii="Bookman Old Style" w:hAnsi="Bookman Old Style" w:cs="Calibri"/>
                <w:szCs w:val="20"/>
                <w:lang w:eastAsia="en-IN"/>
              </w:rPr>
              <w:t>sumer Security deposit(01.04.201</w:t>
            </w:r>
            <w:r w:rsidRPr="00BD77E2">
              <w:rPr>
                <w:rFonts w:ascii="Bookman Old Style" w:hAnsi="Bookman Old Style" w:cs="Calibri"/>
                <w:szCs w:val="20"/>
                <w:lang w:eastAsia="en-IN"/>
              </w:rPr>
              <w:t>9)</w:t>
            </w:r>
          </w:p>
        </w:tc>
        <w:tc>
          <w:tcPr>
            <w:tcW w:w="1466" w:type="dxa"/>
            <w:tcBorders>
              <w:top w:val="nil"/>
              <w:left w:val="nil"/>
              <w:bottom w:val="single" w:sz="4" w:space="0" w:color="auto"/>
              <w:right w:val="single" w:sz="4" w:space="0" w:color="auto"/>
            </w:tcBorders>
            <w:shd w:val="clear" w:color="auto" w:fill="auto"/>
            <w:noWrap/>
            <w:vAlign w:val="center"/>
            <w:hideMark/>
          </w:tcPr>
          <w:p w:rsidR="00381ACE" w:rsidRPr="00BD77E2" w:rsidRDefault="00381ACE" w:rsidP="00D1177B">
            <w:pPr>
              <w:spacing w:after="0" w:line="240" w:lineRule="auto"/>
              <w:ind w:right="67"/>
              <w:jc w:val="right"/>
              <w:rPr>
                <w:rFonts w:ascii="Bookman Old Style" w:hAnsi="Bookman Old Style" w:cs="Calibri"/>
                <w:szCs w:val="20"/>
                <w:lang w:eastAsia="en-IN"/>
              </w:rPr>
            </w:pPr>
            <w:r w:rsidRPr="00BD77E2">
              <w:rPr>
                <w:rFonts w:ascii="Bookman Old Style" w:hAnsi="Bookman Old Style" w:cs="Calibri"/>
                <w:szCs w:val="20"/>
                <w:lang w:eastAsia="en-IN"/>
              </w:rPr>
              <w:t>4105.86</w:t>
            </w:r>
          </w:p>
        </w:tc>
        <w:tc>
          <w:tcPr>
            <w:tcW w:w="1331" w:type="dxa"/>
            <w:tcBorders>
              <w:top w:val="nil"/>
              <w:left w:val="nil"/>
              <w:bottom w:val="single" w:sz="4" w:space="0" w:color="auto"/>
              <w:right w:val="single" w:sz="4" w:space="0" w:color="auto"/>
            </w:tcBorders>
            <w:shd w:val="clear" w:color="auto" w:fill="auto"/>
            <w:noWrap/>
            <w:vAlign w:val="center"/>
            <w:hideMark/>
          </w:tcPr>
          <w:p w:rsidR="00381ACE" w:rsidRPr="00BD77E2" w:rsidRDefault="0076738E" w:rsidP="00D1177B">
            <w:pPr>
              <w:spacing w:after="0" w:line="240" w:lineRule="auto"/>
              <w:ind w:right="67"/>
              <w:jc w:val="right"/>
              <w:rPr>
                <w:rFonts w:ascii="Bookman Old Style" w:hAnsi="Bookman Old Style" w:cs="Calibri"/>
                <w:szCs w:val="20"/>
                <w:lang w:eastAsia="en-IN"/>
              </w:rPr>
            </w:pPr>
            <w:r>
              <w:rPr>
                <w:rFonts w:ascii="Bookman Old Style" w:hAnsi="Bookman Old Style" w:cs="Calibri"/>
                <w:szCs w:val="20"/>
                <w:lang w:eastAsia="en-IN"/>
              </w:rPr>
              <w:t>3974.69</w:t>
            </w:r>
          </w:p>
        </w:tc>
      </w:tr>
      <w:tr w:rsidR="00381ACE" w:rsidRPr="00BD77E2" w:rsidTr="0033491E">
        <w:trPr>
          <w:trHeight w:val="289"/>
          <w:jc w:val="center"/>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381ACE" w:rsidRPr="00BD77E2" w:rsidRDefault="00381ACE" w:rsidP="00D1177B">
            <w:pPr>
              <w:spacing w:after="0" w:line="240" w:lineRule="auto"/>
              <w:ind w:right="67"/>
              <w:rPr>
                <w:rFonts w:ascii="Bookman Old Style" w:hAnsi="Bookman Old Style" w:cs="Calibri"/>
                <w:szCs w:val="20"/>
                <w:lang w:eastAsia="en-IN"/>
              </w:rPr>
            </w:pPr>
            <w:r w:rsidRPr="00BD77E2">
              <w:rPr>
                <w:rFonts w:ascii="Bookman Old Style" w:hAnsi="Bookman Old Style" w:cs="Calibri"/>
                <w:szCs w:val="20"/>
                <w:lang w:eastAsia="en-IN"/>
              </w:rPr>
              <w:t>Added for FY-20</w:t>
            </w:r>
          </w:p>
        </w:tc>
        <w:tc>
          <w:tcPr>
            <w:tcW w:w="1466" w:type="dxa"/>
            <w:tcBorders>
              <w:top w:val="nil"/>
              <w:left w:val="nil"/>
              <w:bottom w:val="single" w:sz="4" w:space="0" w:color="auto"/>
              <w:right w:val="single" w:sz="4" w:space="0" w:color="auto"/>
            </w:tcBorders>
            <w:shd w:val="clear" w:color="auto" w:fill="auto"/>
            <w:noWrap/>
            <w:vAlign w:val="center"/>
            <w:hideMark/>
          </w:tcPr>
          <w:p w:rsidR="00381ACE" w:rsidRPr="00BD77E2" w:rsidRDefault="00381ACE" w:rsidP="00D1177B">
            <w:pPr>
              <w:spacing w:after="0" w:line="240" w:lineRule="auto"/>
              <w:ind w:right="67"/>
              <w:jc w:val="right"/>
              <w:rPr>
                <w:rFonts w:ascii="Bookman Old Style" w:hAnsi="Bookman Old Style" w:cs="Calibri"/>
                <w:szCs w:val="20"/>
                <w:lang w:eastAsia="en-IN"/>
              </w:rPr>
            </w:pPr>
            <w:r w:rsidRPr="00BD77E2">
              <w:rPr>
                <w:rFonts w:ascii="Bookman Old Style" w:hAnsi="Bookman Old Style" w:cs="Calibri"/>
                <w:szCs w:val="20"/>
                <w:lang w:eastAsia="en-IN"/>
              </w:rPr>
              <w:t>300</w:t>
            </w:r>
            <w:r w:rsidR="00BD77E2">
              <w:rPr>
                <w:rFonts w:ascii="Bookman Old Style" w:hAnsi="Bookman Old Style" w:cs="Calibri"/>
                <w:szCs w:val="20"/>
                <w:lang w:eastAsia="en-IN"/>
              </w:rPr>
              <w:t>.00</w:t>
            </w:r>
          </w:p>
        </w:tc>
        <w:tc>
          <w:tcPr>
            <w:tcW w:w="1331" w:type="dxa"/>
            <w:tcBorders>
              <w:top w:val="nil"/>
              <w:left w:val="nil"/>
              <w:bottom w:val="single" w:sz="4" w:space="0" w:color="auto"/>
              <w:right w:val="single" w:sz="4" w:space="0" w:color="auto"/>
            </w:tcBorders>
            <w:shd w:val="clear" w:color="auto" w:fill="auto"/>
            <w:noWrap/>
            <w:vAlign w:val="center"/>
            <w:hideMark/>
          </w:tcPr>
          <w:p w:rsidR="00381ACE" w:rsidRPr="00BD77E2" w:rsidRDefault="0076738E" w:rsidP="00D1177B">
            <w:pPr>
              <w:spacing w:after="0" w:line="240" w:lineRule="auto"/>
              <w:ind w:right="67"/>
              <w:jc w:val="right"/>
              <w:rPr>
                <w:rFonts w:ascii="Bookman Old Style" w:hAnsi="Bookman Old Style" w:cs="Calibri"/>
                <w:szCs w:val="20"/>
                <w:lang w:eastAsia="en-IN"/>
              </w:rPr>
            </w:pPr>
            <w:r>
              <w:rPr>
                <w:rFonts w:ascii="Bookman Old Style" w:hAnsi="Bookman Old Style" w:cs="Calibri"/>
                <w:szCs w:val="20"/>
                <w:lang w:eastAsia="en-IN"/>
              </w:rPr>
              <w:t>379.43</w:t>
            </w:r>
          </w:p>
        </w:tc>
      </w:tr>
      <w:tr w:rsidR="00381ACE" w:rsidRPr="00BD77E2" w:rsidTr="0033491E">
        <w:trPr>
          <w:trHeight w:val="420"/>
          <w:jc w:val="center"/>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381ACE" w:rsidRPr="00BD77E2" w:rsidRDefault="00381ACE" w:rsidP="00D1177B">
            <w:pPr>
              <w:spacing w:after="0" w:line="240" w:lineRule="auto"/>
              <w:ind w:right="67"/>
              <w:rPr>
                <w:rFonts w:ascii="Bookman Old Style" w:hAnsi="Bookman Old Style" w:cs="Calibri"/>
                <w:szCs w:val="20"/>
                <w:lang w:eastAsia="en-IN"/>
              </w:rPr>
            </w:pPr>
            <w:r w:rsidRPr="00BD77E2">
              <w:rPr>
                <w:rFonts w:ascii="Bookman Old Style" w:hAnsi="Bookman Old Style" w:cs="Calibri"/>
                <w:szCs w:val="20"/>
                <w:lang w:eastAsia="en-IN"/>
              </w:rPr>
              <w:t>Consumer Security at the end of year</w:t>
            </w:r>
          </w:p>
        </w:tc>
        <w:tc>
          <w:tcPr>
            <w:tcW w:w="1466" w:type="dxa"/>
            <w:tcBorders>
              <w:top w:val="nil"/>
              <w:left w:val="nil"/>
              <w:bottom w:val="single" w:sz="4" w:space="0" w:color="auto"/>
              <w:right w:val="single" w:sz="4" w:space="0" w:color="auto"/>
            </w:tcBorders>
            <w:shd w:val="clear" w:color="auto" w:fill="auto"/>
            <w:noWrap/>
            <w:vAlign w:val="center"/>
            <w:hideMark/>
          </w:tcPr>
          <w:p w:rsidR="00381ACE" w:rsidRPr="00BD77E2" w:rsidRDefault="00381ACE" w:rsidP="00D1177B">
            <w:pPr>
              <w:spacing w:after="0" w:line="240" w:lineRule="auto"/>
              <w:ind w:right="67"/>
              <w:jc w:val="right"/>
              <w:rPr>
                <w:rFonts w:ascii="Bookman Old Style" w:hAnsi="Bookman Old Style" w:cs="Calibri"/>
                <w:szCs w:val="20"/>
                <w:lang w:eastAsia="en-IN"/>
              </w:rPr>
            </w:pPr>
            <w:r w:rsidRPr="00BD77E2">
              <w:rPr>
                <w:rFonts w:ascii="Bookman Old Style" w:hAnsi="Bookman Old Style" w:cs="Calibri"/>
                <w:szCs w:val="20"/>
                <w:lang w:eastAsia="en-IN"/>
              </w:rPr>
              <w:t>4405.86</w:t>
            </w:r>
          </w:p>
        </w:tc>
        <w:tc>
          <w:tcPr>
            <w:tcW w:w="1331" w:type="dxa"/>
            <w:tcBorders>
              <w:top w:val="nil"/>
              <w:left w:val="nil"/>
              <w:bottom w:val="single" w:sz="4" w:space="0" w:color="auto"/>
              <w:right w:val="single" w:sz="4" w:space="0" w:color="auto"/>
            </w:tcBorders>
            <w:shd w:val="clear" w:color="auto" w:fill="auto"/>
            <w:noWrap/>
            <w:vAlign w:val="center"/>
            <w:hideMark/>
          </w:tcPr>
          <w:p w:rsidR="00381ACE" w:rsidRPr="00BD77E2" w:rsidRDefault="0076738E" w:rsidP="00D1177B">
            <w:pPr>
              <w:spacing w:after="0" w:line="240" w:lineRule="auto"/>
              <w:ind w:right="67"/>
              <w:jc w:val="right"/>
              <w:rPr>
                <w:rFonts w:ascii="Bookman Old Style" w:hAnsi="Bookman Old Style" w:cs="Calibri"/>
                <w:szCs w:val="20"/>
                <w:lang w:eastAsia="en-IN"/>
              </w:rPr>
            </w:pPr>
            <w:r>
              <w:rPr>
                <w:rFonts w:ascii="Bookman Old Style" w:hAnsi="Bookman Old Style" w:cs="Calibri"/>
                <w:szCs w:val="20"/>
                <w:lang w:eastAsia="en-IN"/>
              </w:rPr>
              <w:t>4354.13</w:t>
            </w:r>
          </w:p>
        </w:tc>
      </w:tr>
      <w:tr w:rsidR="00381ACE" w:rsidRPr="00BD77E2" w:rsidTr="0033491E">
        <w:trPr>
          <w:trHeight w:val="412"/>
          <w:jc w:val="center"/>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381ACE" w:rsidRPr="00BD77E2" w:rsidRDefault="00381ACE" w:rsidP="00D1177B">
            <w:pPr>
              <w:spacing w:after="0" w:line="240" w:lineRule="auto"/>
              <w:ind w:right="67"/>
              <w:rPr>
                <w:rFonts w:ascii="Bookman Old Style" w:hAnsi="Bookman Old Style" w:cs="Calibri"/>
                <w:szCs w:val="20"/>
                <w:lang w:eastAsia="en-IN"/>
              </w:rPr>
            </w:pPr>
            <w:r w:rsidRPr="00BD77E2">
              <w:rPr>
                <w:rFonts w:ascii="Bookman Old Style" w:hAnsi="Bookman Old Style" w:cs="Calibri"/>
                <w:szCs w:val="20"/>
                <w:lang w:eastAsia="en-IN"/>
              </w:rPr>
              <w:t>Weighted Average</w:t>
            </w:r>
          </w:p>
        </w:tc>
        <w:tc>
          <w:tcPr>
            <w:tcW w:w="1466" w:type="dxa"/>
            <w:tcBorders>
              <w:top w:val="nil"/>
              <w:left w:val="nil"/>
              <w:bottom w:val="single" w:sz="4" w:space="0" w:color="auto"/>
              <w:right w:val="single" w:sz="4" w:space="0" w:color="auto"/>
            </w:tcBorders>
            <w:shd w:val="clear" w:color="auto" w:fill="auto"/>
            <w:noWrap/>
            <w:vAlign w:val="center"/>
            <w:hideMark/>
          </w:tcPr>
          <w:p w:rsidR="00381ACE" w:rsidRPr="00BD77E2" w:rsidRDefault="00381ACE" w:rsidP="00D1177B">
            <w:pPr>
              <w:spacing w:after="0" w:line="240" w:lineRule="auto"/>
              <w:ind w:right="67"/>
              <w:jc w:val="right"/>
              <w:rPr>
                <w:rFonts w:ascii="Bookman Old Style" w:hAnsi="Bookman Old Style" w:cs="Calibri"/>
                <w:szCs w:val="20"/>
                <w:lang w:eastAsia="en-IN"/>
              </w:rPr>
            </w:pPr>
            <w:r w:rsidRPr="00BD77E2">
              <w:rPr>
                <w:rFonts w:ascii="Bookman Old Style" w:hAnsi="Bookman Old Style" w:cs="Calibri"/>
                <w:szCs w:val="20"/>
                <w:lang w:eastAsia="en-IN"/>
              </w:rPr>
              <w:t>4255.86</w:t>
            </w:r>
          </w:p>
        </w:tc>
        <w:tc>
          <w:tcPr>
            <w:tcW w:w="1331" w:type="dxa"/>
            <w:tcBorders>
              <w:top w:val="nil"/>
              <w:left w:val="nil"/>
              <w:bottom w:val="single" w:sz="4" w:space="0" w:color="auto"/>
              <w:right w:val="single" w:sz="4" w:space="0" w:color="auto"/>
            </w:tcBorders>
            <w:shd w:val="clear" w:color="auto" w:fill="auto"/>
            <w:noWrap/>
            <w:vAlign w:val="center"/>
            <w:hideMark/>
          </w:tcPr>
          <w:p w:rsidR="00381ACE" w:rsidRPr="00BD77E2" w:rsidRDefault="0076738E" w:rsidP="00D1177B">
            <w:pPr>
              <w:spacing w:after="0" w:line="240" w:lineRule="auto"/>
              <w:ind w:right="67"/>
              <w:jc w:val="right"/>
              <w:rPr>
                <w:rFonts w:ascii="Bookman Old Style" w:hAnsi="Bookman Old Style" w:cs="Calibri"/>
                <w:szCs w:val="20"/>
                <w:lang w:eastAsia="en-IN"/>
              </w:rPr>
            </w:pPr>
            <w:r>
              <w:rPr>
                <w:rFonts w:ascii="Bookman Old Style" w:hAnsi="Bookman Old Style" w:cs="Calibri"/>
                <w:szCs w:val="20"/>
                <w:lang w:eastAsia="en-IN"/>
              </w:rPr>
              <w:t>4164.41</w:t>
            </w:r>
          </w:p>
        </w:tc>
      </w:tr>
      <w:tr w:rsidR="00381ACE" w:rsidRPr="00BD77E2" w:rsidTr="0033491E">
        <w:trPr>
          <w:trHeight w:val="433"/>
          <w:jc w:val="center"/>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381ACE" w:rsidRPr="00BD77E2" w:rsidRDefault="00381ACE" w:rsidP="00D1177B">
            <w:pPr>
              <w:spacing w:after="0" w:line="240" w:lineRule="auto"/>
              <w:ind w:right="67"/>
              <w:rPr>
                <w:rFonts w:ascii="Bookman Old Style" w:hAnsi="Bookman Old Style" w:cs="Calibri"/>
                <w:color w:val="000000" w:themeColor="text1"/>
                <w:szCs w:val="20"/>
                <w:lang w:eastAsia="en-IN"/>
              </w:rPr>
            </w:pPr>
            <w:r w:rsidRPr="00BD77E2">
              <w:rPr>
                <w:rFonts w:ascii="Bookman Old Style" w:hAnsi="Bookman Old Style" w:cs="Calibri"/>
                <w:color w:val="000000" w:themeColor="text1"/>
                <w:szCs w:val="20"/>
                <w:lang w:eastAsia="en-IN"/>
              </w:rPr>
              <w:t>Rate of interest</w:t>
            </w:r>
          </w:p>
        </w:tc>
        <w:tc>
          <w:tcPr>
            <w:tcW w:w="1466" w:type="dxa"/>
            <w:tcBorders>
              <w:top w:val="nil"/>
              <w:left w:val="nil"/>
              <w:bottom w:val="single" w:sz="4" w:space="0" w:color="auto"/>
              <w:right w:val="single" w:sz="4" w:space="0" w:color="auto"/>
            </w:tcBorders>
            <w:shd w:val="clear" w:color="auto" w:fill="auto"/>
            <w:noWrap/>
            <w:vAlign w:val="center"/>
            <w:hideMark/>
          </w:tcPr>
          <w:p w:rsidR="00381ACE" w:rsidRPr="00BD77E2" w:rsidRDefault="00381ACE" w:rsidP="00D1177B">
            <w:pPr>
              <w:spacing w:after="0" w:line="240" w:lineRule="auto"/>
              <w:ind w:right="67"/>
              <w:jc w:val="right"/>
              <w:rPr>
                <w:rFonts w:ascii="Bookman Old Style" w:hAnsi="Bookman Old Style" w:cs="Calibri"/>
                <w:color w:val="000000" w:themeColor="text1"/>
                <w:szCs w:val="20"/>
                <w:lang w:eastAsia="en-IN"/>
              </w:rPr>
            </w:pPr>
            <w:r w:rsidRPr="00BD77E2">
              <w:rPr>
                <w:rFonts w:ascii="Bookman Old Style" w:hAnsi="Bookman Old Style" w:cs="Calibri"/>
                <w:color w:val="000000" w:themeColor="text1"/>
                <w:szCs w:val="20"/>
                <w:lang w:eastAsia="en-IN"/>
              </w:rPr>
              <w:t>6.50%</w:t>
            </w:r>
          </w:p>
        </w:tc>
        <w:tc>
          <w:tcPr>
            <w:tcW w:w="1331" w:type="dxa"/>
            <w:tcBorders>
              <w:top w:val="nil"/>
              <w:left w:val="nil"/>
              <w:bottom w:val="single" w:sz="4" w:space="0" w:color="auto"/>
              <w:right w:val="single" w:sz="4" w:space="0" w:color="auto"/>
            </w:tcBorders>
            <w:shd w:val="clear" w:color="auto" w:fill="auto"/>
            <w:noWrap/>
            <w:vAlign w:val="center"/>
            <w:hideMark/>
          </w:tcPr>
          <w:p w:rsidR="00381ACE" w:rsidRPr="00BD77E2" w:rsidRDefault="00381ACE" w:rsidP="00D1177B">
            <w:pPr>
              <w:spacing w:after="0" w:line="240" w:lineRule="auto"/>
              <w:ind w:right="67"/>
              <w:jc w:val="right"/>
              <w:rPr>
                <w:rFonts w:ascii="Bookman Old Style" w:hAnsi="Bookman Old Style" w:cs="Calibri"/>
                <w:color w:val="000000" w:themeColor="text1"/>
                <w:szCs w:val="20"/>
                <w:lang w:eastAsia="en-IN"/>
              </w:rPr>
            </w:pPr>
            <w:r w:rsidRPr="00BD77E2">
              <w:rPr>
                <w:rFonts w:ascii="Bookman Old Style" w:hAnsi="Bookman Old Style" w:cs="Calibri"/>
                <w:color w:val="000000" w:themeColor="text1"/>
                <w:szCs w:val="20"/>
                <w:lang w:eastAsia="en-IN"/>
              </w:rPr>
              <w:t>6.50%</w:t>
            </w:r>
          </w:p>
        </w:tc>
      </w:tr>
      <w:tr w:rsidR="00381ACE" w:rsidRPr="00BD77E2" w:rsidTr="0033491E">
        <w:trPr>
          <w:trHeight w:val="565"/>
          <w:jc w:val="center"/>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381ACE" w:rsidRPr="00BD77E2" w:rsidRDefault="00381ACE" w:rsidP="00D1177B">
            <w:pPr>
              <w:spacing w:after="0" w:line="240" w:lineRule="auto"/>
              <w:ind w:right="67"/>
              <w:rPr>
                <w:rFonts w:ascii="Bookman Old Style" w:hAnsi="Bookman Old Style" w:cs="Calibri"/>
                <w:szCs w:val="20"/>
                <w:lang w:eastAsia="en-IN"/>
              </w:rPr>
            </w:pPr>
            <w:r w:rsidRPr="00BD77E2">
              <w:rPr>
                <w:rFonts w:ascii="Bookman Old Style" w:hAnsi="Bookman Old Style" w:cs="Calibri"/>
                <w:szCs w:val="20"/>
                <w:lang w:eastAsia="en-IN"/>
              </w:rPr>
              <w:t>Calculated interest on consumer security Deposit</w:t>
            </w:r>
          </w:p>
        </w:tc>
        <w:tc>
          <w:tcPr>
            <w:tcW w:w="1466" w:type="dxa"/>
            <w:tcBorders>
              <w:top w:val="nil"/>
              <w:left w:val="nil"/>
              <w:bottom w:val="single" w:sz="4" w:space="0" w:color="auto"/>
              <w:right w:val="single" w:sz="4" w:space="0" w:color="auto"/>
            </w:tcBorders>
            <w:shd w:val="clear" w:color="auto" w:fill="auto"/>
            <w:noWrap/>
            <w:vAlign w:val="center"/>
            <w:hideMark/>
          </w:tcPr>
          <w:p w:rsidR="00381ACE" w:rsidRPr="00BD77E2" w:rsidRDefault="00381ACE" w:rsidP="00D1177B">
            <w:pPr>
              <w:spacing w:after="0" w:line="240" w:lineRule="auto"/>
              <w:ind w:right="67"/>
              <w:jc w:val="right"/>
              <w:rPr>
                <w:rFonts w:ascii="Bookman Old Style" w:hAnsi="Bookman Old Style" w:cs="Calibri"/>
                <w:szCs w:val="20"/>
                <w:lang w:eastAsia="en-IN"/>
              </w:rPr>
            </w:pPr>
            <w:r w:rsidRPr="00BD77E2">
              <w:rPr>
                <w:rFonts w:ascii="Bookman Old Style" w:hAnsi="Bookman Old Style" w:cs="Calibri"/>
                <w:szCs w:val="20"/>
                <w:lang w:eastAsia="en-IN"/>
              </w:rPr>
              <w:t>276.63</w:t>
            </w:r>
          </w:p>
        </w:tc>
        <w:tc>
          <w:tcPr>
            <w:tcW w:w="1331" w:type="dxa"/>
            <w:tcBorders>
              <w:top w:val="nil"/>
              <w:left w:val="nil"/>
              <w:bottom w:val="single" w:sz="4" w:space="0" w:color="auto"/>
              <w:right w:val="single" w:sz="4" w:space="0" w:color="auto"/>
            </w:tcBorders>
            <w:shd w:val="clear" w:color="auto" w:fill="auto"/>
            <w:noWrap/>
            <w:vAlign w:val="center"/>
            <w:hideMark/>
          </w:tcPr>
          <w:p w:rsidR="00381ACE" w:rsidRPr="00BD77E2" w:rsidRDefault="0076738E" w:rsidP="00D1177B">
            <w:pPr>
              <w:spacing w:after="0" w:line="240" w:lineRule="auto"/>
              <w:ind w:right="67"/>
              <w:jc w:val="right"/>
              <w:rPr>
                <w:rFonts w:ascii="Bookman Old Style" w:hAnsi="Bookman Old Style" w:cs="Calibri"/>
                <w:szCs w:val="20"/>
                <w:lang w:eastAsia="en-IN"/>
              </w:rPr>
            </w:pPr>
            <w:r>
              <w:rPr>
                <w:rFonts w:ascii="Bookman Old Style" w:hAnsi="Bookman Old Style" w:cs="Calibri"/>
                <w:szCs w:val="20"/>
                <w:lang w:eastAsia="en-IN"/>
              </w:rPr>
              <w:t>270.69</w:t>
            </w:r>
          </w:p>
        </w:tc>
      </w:tr>
      <w:tr w:rsidR="00381ACE" w:rsidRPr="00BD77E2" w:rsidTr="0033491E">
        <w:trPr>
          <w:trHeight w:val="390"/>
          <w:jc w:val="center"/>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381ACE" w:rsidRPr="00BD77E2" w:rsidRDefault="00381ACE" w:rsidP="00D1177B">
            <w:pPr>
              <w:spacing w:after="0" w:line="240" w:lineRule="auto"/>
              <w:ind w:right="67"/>
              <w:rPr>
                <w:rFonts w:ascii="Bookman Old Style" w:hAnsi="Bookman Old Style" w:cs="Calibri"/>
                <w:szCs w:val="20"/>
                <w:lang w:eastAsia="en-IN"/>
              </w:rPr>
            </w:pPr>
            <w:r w:rsidRPr="00BD77E2">
              <w:rPr>
                <w:rFonts w:ascii="Bookman Old Style" w:hAnsi="Bookman Old Style" w:cs="Calibri"/>
                <w:szCs w:val="20"/>
                <w:lang w:eastAsia="en-IN"/>
              </w:rPr>
              <w:t>Interest on Consumer Security deposit paid</w:t>
            </w:r>
          </w:p>
        </w:tc>
        <w:tc>
          <w:tcPr>
            <w:tcW w:w="1466" w:type="dxa"/>
            <w:tcBorders>
              <w:top w:val="nil"/>
              <w:left w:val="nil"/>
              <w:bottom w:val="single" w:sz="4" w:space="0" w:color="auto"/>
              <w:right w:val="single" w:sz="4" w:space="0" w:color="auto"/>
            </w:tcBorders>
            <w:shd w:val="clear" w:color="auto" w:fill="auto"/>
            <w:noWrap/>
            <w:vAlign w:val="center"/>
            <w:hideMark/>
          </w:tcPr>
          <w:p w:rsidR="00381ACE" w:rsidRPr="00BD77E2" w:rsidRDefault="00381ACE" w:rsidP="00D1177B">
            <w:pPr>
              <w:spacing w:after="0" w:line="240" w:lineRule="auto"/>
              <w:ind w:right="67"/>
              <w:jc w:val="right"/>
              <w:rPr>
                <w:rFonts w:ascii="Bookman Old Style" w:hAnsi="Bookman Old Style" w:cs="Calibri"/>
                <w:szCs w:val="20"/>
                <w:lang w:eastAsia="en-IN"/>
              </w:rPr>
            </w:pPr>
            <w:r w:rsidRPr="00BD77E2">
              <w:rPr>
                <w:rFonts w:ascii="Bookman Old Style" w:hAnsi="Bookman Old Style" w:cs="Calibri"/>
                <w:szCs w:val="20"/>
                <w:lang w:eastAsia="en-IN"/>
              </w:rPr>
              <w:t> </w:t>
            </w:r>
          </w:p>
        </w:tc>
        <w:tc>
          <w:tcPr>
            <w:tcW w:w="1331" w:type="dxa"/>
            <w:tcBorders>
              <w:top w:val="nil"/>
              <w:left w:val="nil"/>
              <w:bottom w:val="single" w:sz="4" w:space="0" w:color="auto"/>
              <w:right w:val="single" w:sz="4" w:space="0" w:color="auto"/>
            </w:tcBorders>
            <w:shd w:val="clear" w:color="auto" w:fill="auto"/>
            <w:noWrap/>
            <w:vAlign w:val="center"/>
            <w:hideMark/>
          </w:tcPr>
          <w:p w:rsidR="00381ACE" w:rsidRPr="00BD77E2" w:rsidRDefault="00381ACE" w:rsidP="00D1177B">
            <w:pPr>
              <w:spacing w:after="0" w:line="240" w:lineRule="auto"/>
              <w:ind w:right="67"/>
              <w:jc w:val="right"/>
              <w:rPr>
                <w:rFonts w:ascii="Bookman Old Style" w:hAnsi="Bookman Old Style" w:cs="Calibri"/>
                <w:b/>
                <w:bCs/>
                <w:szCs w:val="20"/>
                <w:lang w:eastAsia="en-IN"/>
              </w:rPr>
            </w:pPr>
            <w:r w:rsidRPr="00BD77E2">
              <w:rPr>
                <w:rFonts w:ascii="Bookman Old Style" w:hAnsi="Bookman Old Style" w:cs="Calibri"/>
                <w:b/>
                <w:bCs/>
                <w:szCs w:val="20"/>
                <w:lang w:eastAsia="en-IN"/>
              </w:rPr>
              <w:t>238.87</w:t>
            </w:r>
          </w:p>
        </w:tc>
      </w:tr>
    </w:tbl>
    <w:p w:rsidR="00381ACE" w:rsidRDefault="00381ACE" w:rsidP="00717D3E">
      <w:pPr>
        <w:spacing w:line="360" w:lineRule="auto"/>
        <w:ind w:right="67"/>
        <w:jc w:val="both"/>
        <w:rPr>
          <w:rFonts w:ascii="Bookman Old Style" w:eastAsiaTheme="minorEastAsia" w:hAnsi="Bookman Old Style" w:cs="Arial"/>
          <w:b/>
          <w:sz w:val="20"/>
          <w:szCs w:val="26"/>
        </w:rPr>
      </w:pPr>
    </w:p>
    <w:p w:rsidR="00381ACE" w:rsidRPr="00D61AC7" w:rsidRDefault="00381ACE" w:rsidP="00717D3E">
      <w:pPr>
        <w:spacing w:line="360" w:lineRule="auto"/>
        <w:ind w:right="67"/>
        <w:jc w:val="both"/>
        <w:rPr>
          <w:rFonts w:ascii="Bookman Old Style" w:eastAsia="Century Gothic" w:hAnsi="Bookman Old Style" w:cs="Century Gothic"/>
        </w:rPr>
      </w:pPr>
      <w:r w:rsidRPr="00D61AC7">
        <w:rPr>
          <w:rFonts w:ascii="Bookman Old Style" w:eastAsia="Century Gothic" w:hAnsi="Bookman Old Style" w:cs="Century Gothic"/>
        </w:rPr>
        <w:t>Commission is requested to allow Rs.</w:t>
      </w:r>
      <w:r>
        <w:rPr>
          <w:rFonts w:ascii="Bookman Old Style" w:eastAsia="Century Gothic" w:hAnsi="Bookman Old Style" w:cs="Century Gothic"/>
        </w:rPr>
        <w:t xml:space="preserve">238.87 </w:t>
      </w:r>
      <w:r w:rsidRPr="00D61AC7">
        <w:rPr>
          <w:rFonts w:ascii="Bookman Old Style" w:eastAsia="Century Gothic" w:hAnsi="Bookman Old Style" w:cs="Century Gothic"/>
        </w:rPr>
        <w:t>Crs as interest on consumer security deposit for FY-</w:t>
      </w:r>
      <w:r>
        <w:rPr>
          <w:rFonts w:ascii="Bookman Old Style" w:eastAsia="Century Gothic" w:hAnsi="Bookman Old Style" w:cs="Century Gothic"/>
        </w:rPr>
        <w:t>20</w:t>
      </w:r>
    </w:p>
    <w:p w:rsidR="00381ACE" w:rsidRPr="00D61AC7" w:rsidRDefault="00381ACE" w:rsidP="00717D3E">
      <w:pPr>
        <w:spacing w:line="360" w:lineRule="auto"/>
        <w:ind w:right="67"/>
        <w:jc w:val="both"/>
        <w:rPr>
          <w:rFonts w:ascii="Bookman Old Style" w:eastAsiaTheme="minorEastAsia" w:hAnsi="Bookman Old Style" w:cs="Arial"/>
          <w:b/>
          <w:sz w:val="28"/>
          <w:szCs w:val="24"/>
        </w:rPr>
      </w:pPr>
      <w:r w:rsidRPr="00D61AC7">
        <w:rPr>
          <w:rFonts w:ascii="Bookman Old Style" w:eastAsiaTheme="minorEastAsia" w:hAnsi="Bookman Old Style" w:cs="Arial"/>
          <w:b/>
          <w:sz w:val="28"/>
          <w:szCs w:val="24"/>
        </w:rPr>
        <w:t xml:space="preserve">Other finance charges:  </w:t>
      </w:r>
    </w:p>
    <w:p w:rsidR="005E1072" w:rsidRPr="008B0A50" w:rsidRDefault="00381ACE" w:rsidP="008B0A50">
      <w:pPr>
        <w:pStyle w:val="BodyText"/>
        <w:spacing w:line="360" w:lineRule="auto"/>
        <w:ind w:right="67"/>
        <w:rPr>
          <w:rFonts w:ascii="Bookman Old Style" w:eastAsiaTheme="minorEastAsia" w:hAnsi="Bookman Old Style"/>
        </w:rPr>
      </w:pPr>
      <w:r w:rsidRPr="00D61AC7">
        <w:rPr>
          <w:rFonts w:ascii="Bookman Old Style" w:eastAsiaTheme="minorEastAsia" w:hAnsi="Bookman Old Style"/>
        </w:rPr>
        <w:t xml:space="preserve">BESCOM submits that it has incurred Other Finance Charges amounting to Rs. </w:t>
      </w:r>
      <w:r>
        <w:rPr>
          <w:rFonts w:ascii="Bookman Old Style" w:eastAsiaTheme="minorEastAsia" w:hAnsi="Bookman Old Style"/>
        </w:rPr>
        <w:t>22.29 Crs during the F</w:t>
      </w:r>
      <w:r w:rsidRPr="00D61AC7">
        <w:rPr>
          <w:rFonts w:ascii="Bookman Old Style" w:eastAsiaTheme="minorEastAsia" w:hAnsi="Bookman Old Style"/>
        </w:rPr>
        <w:t>Y-</w:t>
      </w:r>
      <w:r>
        <w:rPr>
          <w:rFonts w:ascii="Bookman Old Style" w:eastAsiaTheme="minorEastAsia" w:hAnsi="Bookman Old Style"/>
        </w:rPr>
        <w:t>20</w:t>
      </w:r>
      <w:r w:rsidRPr="00D61AC7">
        <w:rPr>
          <w:rFonts w:ascii="Bookman Old Style" w:eastAsiaTheme="minorEastAsia" w:hAnsi="Bookman Old Style"/>
        </w:rPr>
        <w:t xml:space="preserve"> as against Commission approved amount of Rs.</w:t>
      </w:r>
      <w:r>
        <w:rPr>
          <w:rFonts w:ascii="Bookman Old Style" w:eastAsiaTheme="minorEastAsia" w:hAnsi="Bookman Old Style"/>
        </w:rPr>
        <w:t>4</w:t>
      </w:r>
      <w:r w:rsidR="008B0A50">
        <w:rPr>
          <w:rFonts w:ascii="Bookman Old Style" w:eastAsiaTheme="minorEastAsia" w:hAnsi="Bookman Old Style"/>
        </w:rPr>
        <w:t xml:space="preserve"> Crs.</w:t>
      </w:r>
      <w:r w:rsidR="004D2832">
        <w:rPr>
          <w:rFonts w:ascii="Bookman Old Style" w:hAnsi="Bookman Old Style" w:cs="Calibri"/>
          <w:b/>
          <w:bCs/>
          <w:sz w:val="20"/>
          <w:lang w:eastAsia="en-IN"/>
        </w:rPr>
        <w:t xml:space="preserve">                              </w:t>
      </w:r>
    </w:p>
    <w:p w:rsidR="00381ACE" w:rsidRPr="006537C6" w:rsidRDefault="005E1072" w:rsidP="004D2832">
      <w:pPr>
        <w:pStyle w:val="BodyText"/>
        <w:spacing w:line="360" w:lineRule="auto"/>
        <w:ind w:right="67"/>
        <w:jc w:val="center"/>
        <w:rPr>
          <w:rFonts w:ascii="Bookman Old Style" w:eastAsiaTheme="minorEastAsia" w:hAnsi="Bookman Old Style"/>
          <w:color w:val="F2F2F2" w:themeColor="background1" w:themeShade="F2"/>
          <w:sz w:val="20"/>
        </w:rPr>
      </w:pPr>
      <w:r>
        <w:rPr>
          <w:rFonts w:ascii="Bookman Old Style" w:hAnsi="Bookman Old Style" w:cs="Calibri"/>
          <w:b/>
          <w:bCs/>
          <w:sz w:val="20"/>
          <w:lang w:eastAsia="en-IN"/>
        </w:rPr>
        <w:lastRenderedPageBreak/>
        <w:t xml:space="preserve">                                   </w:t>
      </w:r>
      <w:r w:rsidR="004D2832">
        <w:rPr>
          <w:rFonts w:ascii="Bookman Old Style" w:hAnsi="Bookman Old Style" w:cs="Calibri"/>
          <w:b/>
          <w:bCs/>
          <w:sz w:val="20"/>
          <w:lang w:eastAsia="en-IN"/>
        </w:rPr>
        <w:t xml:space="preserve">    </w:t>
      </w:r>
      <w:r w:rsidR="004D2832" w:rsidRPr="006537C6">
        <w:rPr>
          <w:rFonts w:ascii="Bookman Old Style" w:hAnsi="Bookman Old Style" w:cs="Calibri"/>
          <w:b/>
          <w:bCs/>
          <w:sz w:val="18"/>
          <w:lang w:eastAsia="en-IN"/>
        </w:rPr>
        <w:t>Table 3.</w:t>
      </w:r>
      <w:r w:rsidR="004D2832" w:rsidRPr="006537C6">
        <w:rPr>
          <w:rFonts w:ascii="Bookman Old Style" w:hAnsi="Bookman Old Style" w:cs="Calibri"/>
          <w:b/>
          <w:bCs/>
          <w:sz w:val="18"/>
          <w:szCs w:val="20"/>
          <w:lang w:eastAsia="en-IN"/>
        </w:rPr>
        <w:t>3</w:t>
      </w:r>
      <w:r w:rsidR="001F0DC3">
        <w:rPr>
          <w:rFonts w:ascii="Bookman Old Style" w:hAnsi="Bookman Old Style" w:cs="Calibri"/>
          <w:b/>
          <w:bCs/>
          <w:sz w:val="18"/>
          <w:szCs w:val="20"/>
          <w:lang w:eastAsia="en-IN"/>
        </w:rPr>
        <w:t>6</w:t>
      </w:r>
      <w:r w:rsidR="00BB7048">
        <w:rPr>
          <w:rFonts w:ascii="Bookman Old Style" w:hAnsi="Bookman Old Style" w:cs="Calibri"/>
          <w:b/>
          <w:bCs/>
          <w:sz w:val="18"/>
          <w:szCs w:val="20"/>
          <w:lang w:eastAsia="en-IN"/>
        </w:rPr>
        <w:t xml:space="preserve">       </w:t>
      </w:r>
      <w:r w:rsidR="004D2832" w:rsidRPr="006537C6">
        <w:rPr>
          <w:rFonts w:ascii="Bookman Old Style" w:hAnsi="Bookman Old Style" w:cs="Calibri"/>
          <w:b/>
          <w:bCs/>
          <w:sz w:val="18"/>
          <w:szCs w:val="20"/>
          <w:lang w:eastAsia="en-IN"/>
        </w:rPr>
        <w:t xml:space="preserve">      </w:t>
      </w:r>
      <w:r w:rsidR="004D2832" w:rsidRPr="006537C6">
        <w:rPr>
          <w:rFonts w:ascii="Bookman Old Style" w:eastAsiaTheme="minorEastAsia" w:hAnsi="Bookman Old Style"/>
          <w:b/>
          <w:sz w:val="18"/>
          <w:szCs w:val="20"/>
        </w:rPr>
        <w:t xml:space="preserve">             Amount in Crs.</w:t>
      </w:r>
    </w:p>
    <w:tbl>
      <w:tblPr>
        <w:tblW w:w="7252" w:type="dxa"/>
        <w:jc w:val="center"/>
        <w:tblLook w:val="04A0" w:firstRow="1" w:lastRow="0" w:firstColumn="1" w:lastColumn="0" w:noHBand="0" w:noVBand="1"/>
      </w:tblPr>
      <w:tblGrid>
        <w:gridCol w:w="4723"/>
        <w:gridCol w:w="1381"/>
        <w:gridCol w:w="1148"/>
      </w:tblGrid>
      <w:tr w:rsidR="00381ACE" w:rsidRPr="009C65FB" w:rsidTr="00E139D2">
        <w:trPr>
          <w:trHeight w:val="329"/>
          <w:jc w:val="center"/>
        </w:trPr>
        <w:tc>
          <w:tcPr>
            <w:tcW w:w="4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ACE" w:rsidRPr="009C65FB" w:rsidRDefault="00381ACE" w:rsidP="00E139D2">
            <w:pPr>
              <w:pStyle w:val="NoSpacing"/>
              <w:ind w:right="67"/>
              <w:rPr>
                <w:rFonts w:ascii="Bookman Old Style" w:hAnsi="Bookman Old Style"/>
                <w:b/>
                <w:lang w:val="en-IN" w:eastAsia="en-IN"/>
              </w:rPr>
            </w:pPr>
            <w:r w:rsidRPr="009C65FB">
              <w:rPr>
                <w:rFonts w:ascii="Bookman Old Style" w:hAnsi="Bookman Old Style"/>
                <w:b/>
                <w:lang w:val="en-IN" w:eastAsia="en-IN"/>
              </w:rPr>
              <w:t>Other finance charges</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381ACE" w:rsidRPr="009C65FB" w:rsidRDefault="00381ACE" w:rsidP="00E139D2">
            <w:pPr>
              <w:pStyle w:val="NoSpacing"/>
              <w:ind w:right="67"/>
              <w:jc w:val="center"/>
              <w:rPr>
                <w:rFonts w:ascii="Bookman Old Style" w:hAnsi="Bookman Old Style"/>
                <w:b/>
                <w:lang w:val="en-IN" w:eastAsia="en-IN"/>
              </w:rPr>
            </w:pPr>
            <w:r w:rsidRPr="009C65FB">
              <w:rPr>
                <w:rFonts w:ascii="Bookman Old Style" w:hAnsi="Bookman Old Style"/>
                <w:b/>
                <w:lang w:val="en-IN" w:eastAsia="en-IN"/>
              </w:rPr>
              <w:t>Approved</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381ACE" w:rsidRPr="009C65FB" w:rsidRDefault="00381ACE" w:rsidP="00E139D2">
            <w:pPr>
              <w:pStyle w:val="NoSpacing"/>
              <w:ind w:right="67"/>
              <w:jc w:val="center"/>
              <w:rPr>
                <w:rFonts w:ascii="Bookman Old Style" w:hAnsi="Bookman Old Style"/>
                <w:b/>
                <w:lang w:val="en-IN" w:eastAsia="en-IN"/>
              </w:rPr>
            </w:pPr>
            <w:r w:rsidRPr="009C65FB">
              <w:rPr>
                <w:rFonts w:ascii="Bookman Old Style" w:hAnsi="Bookman Old Style"/>
                <w:b/>
                <w:lang w:val="en-IN" w:eastAsia="en-IN"/>
              </w:rPr>
              <w:t>Actuals</w:t>
            </w:r>
          </w:p>
        </w:tc>
      </w:tr>
      <w:tr w:rsidR="00381ACE" w:rsidRPr="009C65FB" w:rsidTr="00E139D2">
        <w:trPr>
          <w:trHeight w:val="317"/>
          <w:jc w:val="center"/>
        </w:trPr>
        <w:tc>
          <w:tcPr>
            <w:tcW w:w="4723" w:type="dxa"/>
            <w:tcBorders>
              <w:top w:val="nil"/>
              <w:left w:val="single" w:sz="4" w:space="0" w:color="auto"/>
              <w:bottom w:val="single" w:sz="4" w:space="0" w:color="auto"/>
              <w:right w:val="single" w:sz="4" w:space="0" w:color="auto"/>
            </w:tcBorders>
            <w:shd w:val="clear" w:color="auto" w:fill="auto"/>
            <w:noWrap/>
            <w:vAlign w:val="bottom"/>
            <w:hideMark/>
          </w:tcPr>
          <w:p w:rsidR="00381ACE" w:rsidRPr="009C65FB" w:rsidRDefault="00381ACE" w:rsidP="00E139D2">
            <w:pPr>
              <w:pStyle w:val="NoSpacing"/>
              <w:ind w:right="67"/>
              <w:rPr>
                <w:rFonts w:ascii="Bookman Old Style" w:hAnsi="Bookman Old Style"/>
                <w:color w:val="000000"/>
                <w:lang w:val="en-IN" w:eastAsia="en-IN"/>
              </w:rPr>
            </w:pPr>
            <w:r w:rsidRPr="009C65FB">
              <w:rPr>
                <w:rFonts w:ascii="Bookman Old Style" w:hAnsi="Bookman Old Style"/>
                <w:color w:val="000000"/>
                <w:lang w:val="en-IN" w:eastAsia="en-IN"/>
              </w:rPr>
              <w:t>Bank Charges</w:t>
            </w:r>
          </w:p>
        </w:tc>
        <w:tc>
          <w:tcPr>
            <w:tcW w:w="1381"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F56AC9">
            <w:pPr>
              <w:pStyle w:val="NoSpacing"/>
              <w:ind w:right="67"/>
              <w:jc w:val="right"/>
              <w:rPr>
                <w:rFonts w:ascii="Bookman Old Style" w:hAnsi="Bookman Old Style"/>
                <w:lang w:val="en-IN" w:eastAsia="en-IN"/>
              </w:rPr>
            </w:pPr>
          </w:p>
        </w:tc>
        <w:tc>
          <w:tcPr>
            <w:tcW w:w="1148"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F56AC9">
            <w:pPr>
              <w:pStyle w:val="NoSpacing"/>
              <w:ind w:right="67"/>
              <w:jc w:val="right"/>
              <w:rPr>
                <w:rFonts w:ascii="Bookman Old Style" w:hAnsi="Bookman Old Style"/>
                <w:color w:val="000000"/>
                <w:lang w:val="en-IN" w:eastAsia="en-IN"/>
              </w:rPr>
            </w:pPr>
            <w:r w:rsidRPr="009C65FB">
              <w:rPr>
                <w:rFonts w:ascii="Bookman Old Style" w:hAnsi="Bookman Old Style"/>
                <w:color w:val="000000"/>
                <w:lang w:val="en-IN" w:eastAsia="en-IN"/>
              </w:rPr>
              <w:t>19.91</w:t>
            </w:r>
          </w:p>
        </w:tc>
      </w:tr>
      <w:tr w:rsidR="00381ACE" w:rsidRPr="009C65FB" w:rsidTr="00E139D2">
        <w:trPr>
          <w:trHeight w:val="216"/>
          <w:jc w:val="center"/>
        </w:trPr>
        <w:tc>
          <w:tcPr>
            <w:tcW w:w="4723" w:type="dxa"/>
            <w:tcBorders>
              <w:top w:val="nil"/>
              <w:left w:val="single" w:sz="4" w:space="0" w:color="auto"/>
              <w:bottom w:val="single" w:sz="4" w:space="0" w:color="auto"/>
              <w:right w:val="single" w:sz="4" w:space="0" w:color="auto"/>
            </w:tcBorders>
            <w:shd w:val="clear" w:color="auto" w:fill="auto"/>
            <w:noWrap/>
            <w:vAlign w:val="bottom"/>
            <w:hideMark/>
          </w:tcPr>
          <w:p w:rsidR="00381ACE" w:rsidRPr="009C65FB" w:rsidRDefault="00381ACE" w:rsidP="00E139D2">
            <w:pPr>
              <w:pStyle w:val="NoSpacing"/>
              <w:ind w:right="67"/>
              <w:rPr>
                <w:rFonts w:ascii="Bookman Old Style" w:hAnsi="Bookman Old Style"/>
                <w:color w:val="000000"/>
                <w:lang w:val="en-IN" w:eastAsia="en-IN"/>
              </w:rPr>
            </w:pPr>
            <w:r w:rsidRPr="009C65FB">
              <w:rPr>
                <w:rFonts w:ascii="Bookman Old Style" w:hAnsi="Bookman Old Style"/>
                <w:color w:val="000000"/>
                <w:lang w:val="en-IN" w:eastAsia="en-IN"/>
              </w:rPr>
              <w:t>Stamp duty</w:t>
            </w:r>
          </w:p>
        </w:tc>
        <w:tc>
          <w:tcPr>
            <w:tcW w:w="1381"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F56AC9">
            <w:pPr>
              <w:pStyle w:val="NoSpacing"/>
              <w:ind w:right="67"/>
              <w:jc w:val="right"/>
              <w:rPr>
                <w:rFonts w:ascii="Bookman Old Style" w:hAnsi="Bookman Old Style"/>
                <w:lang w:val="en-IN" w:eastAsia="en-IN"/>
              </w:rPr>
            </w:pPr>
          </w:p>
        </w:tc>
        <w:tc>
          <w:tcPr>
            <w:tcW w:w="1148"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F56AC9">
            <w:pPr>
              <w:pStyle w:val="NoSpacing"/>
              <w:ind w:right="67"/>
              <w:jc w:val="right"/>
              <w:rPr>
                <w:rFonts w:ascii="Bookman Old Style" w:hAnsi="Bookman Old Style"/>
                <w:color w:val="000000"/>
                <w:lang w:val="en-IN" w:eastAsia="en-IN"/>
              </w:rPr>
            </w:pPr>
            <w:r w:rsidRPr="009C65FB">
              <w:rPr>
                <w:rFonts w:ascii="Bookman Old Style" w:hAnsi="Bookman Old Style"/>
                <w:color w:val="000000"/>
                <w:lang w:val="en-IN" w:eastAsia="en-IN"/>
              </w:rPr>
              <w:t>1.80</w:t>
            </w:r>
          </w:p>
        </w:tc>
      </w:tr>
      <w:tr w:rsidR="00381ACE" w:rsidRPr="009C65FB" w:rsidTr="00980959">
        <w:trPr>
          <w:trHeight w:val="156"/>
          <w:jc w:val="center"/>
        </w:trPr>
        <w:tc>
          <w:tcPr>
            <w:tcW w:w="4723" w:type="dxa"/>
            <w:tcBorders>
              <w:top w:val="nil"/>
              <w:left w:val="single" w:sz="4" w:space="0" w:color="auto"/>
              <w:bottom w:val="single" w:sz="4" w:space="0" w:color="auto"/>
              <w:right w:val="single" w:sz="4" w:space="0" w:color="auto"/>
            </w:tcBorders>
            <w:shd w:val="clear" w:color="auto" w:fill="auto"/>
            <w:noWrap/>
            <w:vAlign w:val="bottom"/>
            <w:hideMark/>
          </w:tcPr>
          <w:p w:rsidR="00381ACE" w:rsidRPr="009C65FB" w:rsidRDefault="00381ACE" w:rsidP="00E139D2">
            <w:pPr>
              <w:pStyle w:val="NoSpacing"/>
              <w:ind w:right="67"/>
              <w:rPr>
                <w:rFonts w:ascii="Bookman Old Style" w:hAnsi="Bookman Old Style"/>
                <w:color w:val="000000"/>
                <w:lang w:val="en-IN" w:eastAsia="en-IN"/>
              </w:rPr>
            </w:pPr>
            <w:r w:rsidRPr="00D50F9D">
              <w:rPr>
                <w:rFonts w:ascii="Bookman Old Style" w:hAnsi="Bookman Old Style"/>
                <w:lang w:val="en-IN" w:eastAsia="en-IN"/>
              </w:rPr>
              <w:t xml:space="preserve">Guarantee </w:t>
            </w:r>
            <w:r w:rsidR="00D50F9D" w:rsidRPr="00D50F9D">
              <w:rPr>
                <w:rFonts w:ascii="Bookman Old Style" w:hAnsi="Bookman Old Style"/>
                <w:lang w:val="en-IN" w:eastAsia="en-IN"/>
              </w:rPr>
              <w:t>c</w:t>
            </w:r>
            <w:r w:rsidRPr="00D50F9D">
              <w:rPr>
                <w:rFonts w:ascii="Bookman Old Style" w:hAnsi="Bookman Old Style"/>
                <w:lang w:val="en-IN" w:eastAsia="en-IN"/>
              </w:rPr>
              <w:t xml:space="preserve">ommission </w:t>
            </w:r>
            <w:r w:rsidRPr="009C65FB">
              <w:rPr>
                <w:rFonts w:ascii="Bookman Old Style" w:hAnsi="Bookman Old Style"/>
                <w:color w:val="000000"/>
                <w:lang w:val="en-IN" w:eastAsia="en-IN"/>
              </w:rPr>
              <w:t>to GoK</w:t>
            </w:r>
          </w:p>
        </w:tc>
        <w:tc>
          <w:tcPr>
            <w:tcW w:w="1381"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F56AC9">
            <w:pPr>
              <w:pStyle w:val="NoSpacing"/>
              <w:ind w:right="67"/>
              <w:jc w:val="right"/>
              <w:rPr>
                <w:rFonts w:ascii="Bookman Old Style" w:hAnsi="Bookman Old Style"/>
                <w:lang w:val="en-IN" w:eastAsia="en-IN"/>
              </w:rPr>
            </w:pPr>
          </w:p>
        </w:tc>
        <w:tc>
          <w:tcPr>
            <w:tcW w:w="1148" w:type="dxa"/>
            <w:tcBorders>
              <w:top w:val="nil"/>
              <w:left w:val="nil"/>
              <w:bottom w:val="single" w:sz="4" w:space="0" w:color="auto"/>
              <w:right w:val="single" w:sz="4" w:space="0" w:color="auto"/>
            </w:tcBorders>
            <w:shd w:val="clear" w:color="000000" w:fill="FFFFFF"/>
            <w:noWrap/>
            <w:vAlign w:val="bottom"/>
            <w:hideMark/>
          </w:tcPr>
          <w:p w:rsidR="00381ACE" w:rsidRPr="009C65FB" w:rsidRDefault="00381ACE" w:rsidP="00F56AC9">
            <w:pPr>
              <w:pStyle w:val="NoSpacing"/>
              <w:ind w:right="67"/>
              <w:jc w:val="right"/>
              <w:rPr>
                <w:rFonts w:ascii="Bookman Old Style" w:hAnsi="Bookman Old Style"/>
                <w:color w:val="000000"/>
                <w:lang w:val="en-IN" w:eastAsia="en-IN"/>
              </w:rPr>
            </w:pPr>
            <w:r w:rsidRPr="009C65FB">
              <w:rPr>
                <w:rFonts w:ascii="Bookman Old Style" w:hAnsi="Bookman Old Style"/>
                <w:color w:val="000000"/>
                <w:lang w:val="en-IN" w:eastAsia="en-IN"/>
              </w:rPr>
              <w:t>0.59</w:t>
            </w:r>
          </w:p>
        </w:tc>
      </w:tr>
      <w:tr w:rsidR="00381ACE" w:rsidRPr="009C65FB" w:rsidTr="00E139D2">
        <w:trPr>
          <w:trHeight w:val="182"/>
          <w:jc w:val="center"/>
        </w:trPr>
        <w:tc>
          <w:tcPr>
            <w:tcW w:w="4723" w:type="dxa"/>
            <w:tcBorders>
              <w:top w:val="nil"/>
              <w:left w:val="single" w:sz="4" w:space="0" w:color="auto"/>
              <w:bottom w:val="single" w:sz="4" w:space="0" w:color="auto"/>
              <w:right w:val="single" w:sz="4" w:space="0" w:color="auto"/>
            </w:tcBorders>
            <w:shd w:val="clear" w:color="auto" w:fill="auto"/>
            <w:noWrap/>
            <w:vAlign w:val="bottom"/>
            <w:hideMark/>
          </w:tcPr>
          <w:p w:rsidR="00381ACE" w:rsidRPr="009C65FB" w:rsidRDefault="00381ACE" w:rsidP="00E139D2">
            <w:pPr>
              <w:pStyle w:val="NoSpacing"/>
              <w:ind w:right="67"/>
              <w:rPr>
                <w:rFonts w:ascii="Bookman Old Style" w:hAnsi="Bookman Old Style"/>
                <w:color w:val="000000"/>
                <w:lang w:val="en-IN" w:eastAsia="en-IN"/>
              </w:rPr>
            </w:pPr>
            <w:r w:rsidRPr="009C65FB">
              <w:rPr>
                <w:rFonts w:ascii="Bookman Old Style" w:hAnsi="Bookman Old Style"/>
                <w:color w:val="000000"/>
                <w:lang w:val="en-IN" w:eastAsia="en-IN"/>
              </w:rPr>
              <w:t>Interest on Security Deposit from staff</w:t>
            </w:r>
          </w:p>
        </w:tc>
        <w:tc>
          <w:tcPr>
            <w:tcW w:w="1381"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F56AC9">
            <w:pPr>
              <w:pStyle w:val="NoSpacing"/>
              <w:ind w:right="67"/>
              <w:jc w:val="right"/>
              <w:rPr>
                <w:rFonts w:ascii="Bookman Old Style" w:hAnsi="Bookman Old Style"/>
                <w:lang w:val="en-IN" w:eastAsia="en-IN"/>
              </w:rPr>
            </w:pPr>
          </w:p>
        </w:tc>
        <w:tc>
          <w:tcPr>
            <w:tcW w:w="1148"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F56AC9">
            <w:pPr>
              <w:pStyle w:val="NoSpacing"/>
              <w:ind w:right="67"/>
              <w:jc w:val="right"/>
              <w:rPr>
                <w:rFonts w:ascii="Bookman Old Style" w:hAnsi="Bookman Old Style"/>
                <w:color w:val="000000"/>
                <w:lang w:val="en-IN" w:eastAsia="en-IN"/>
              </w:rPr>
            </w:pPr>
            <w:r w:rsidRPr="009C65FB">
              <w:rPr>
                <w:rFonts w:ascii="Bookman Old Style" w:hAnsi="Bookman Old Style"/>
                <w:color w:val="000000"/>
                <w:lang w:val="en-IN" w:eastAsia="en-IN"/>
              </w:rPr>
              <w:t>0.00</w:t>
            </w:r>
          </w:p>
        </w:tc>
      </w:tr>
      <w:tr w:rsidR="00381ACE" w:rsidRPr="009C65FB" w:rsidTr="00E139D2">
        <w:trPr>
          <w:trHeight w:val="182"/>
          <w:jc w:val="center"/>
        </w:trPr>
        <w:tc>
          <w:tcPr>
            <w:tcW w:w="4723" w:type="dxa"/>
            <w:tcBorders>
              <w:top w:val="nil"/>
              <w:left w:val="single" w:sz="4" w:space="0" w:color="auto"/>
              <w:bottom w:val="single" w:sz="4" w:space="0" w:color="auto"/>
              <w:right w:val="single" w:sz="4" w:space="0" w:color="auto"/>
            </w:tcBorders>
            <w:shd w:val="clear" w:color="auto" w:fill="auto"/>
            <w:noWrap/>
            <w:vAlign w:val="bottom"/>
            <w:hideMark/>
          </w:tcPr>
          <w:p w:rsidR="00381ACE" w:rsidRPr="009C65FB" w:rsidRDefault="00381ACE" w:rsidP="00E139D2">
            <w:pPr>
              <w:pStyle w:val="NoSpacing"/>
              <w:ind w:right="67"/>
              <w:rPr>
                <w:rFonts w:ascii="Bookman Old Style" w:hAnsi="Bookman Old Style"/>
                <w:color w:val="000000"/>
                <w:lang w:val="en-IN" w:eastAsia="en-IN"/>
              </w:rPr>
            </w:pPr>
            <w:r w:rsidRPr="009C65FB">
              <w:rPr>
                <w:rFonts w:ascii="Bookman Old Style" w:hAnsi="Bookman Old Style"/>
                <w:color w:val="000000"/>
                <w:lang w:val="en-IN" w:eastAsia="en-IN"/>
              </w:rPr>
              <w:t>Interest paid to service tax department</w:t>
            </w:r>
          </w:p>
        </w:tc>
        <w:tc>
          <w:tcPr>
            <w:tcW w:w="1381"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F56AC9">
            <w:pPr>
              <w:pStyle w:val="NoSpacing"/>
              <w:ind w:right="67"/>
              <w:jc w:val="right"/>
              <w:rPr>
                <w:rFonts w:ascii="Bookman Old Style" w:hAnsi="Bookman Old Style"/>
                <w:lang w:val="en-IN" w:eastAsia="en-IN"/>
              </w:rPr>
            </w:pPr>
          </w:p>
        </w:tc>
        <w:tc>
          <w:tcPr>
            <w:tcW w:w="1148"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F56AC9">
            <w:pPr>
              <w:pStyle w:val="NoSpacing"/>
              <w:ind w:right="67"/>
              <w:jc w:val="right"/>
              <w:rPr>
                <w:rFonts w:ascii="Bookman Old Style" w:hAnsi="Bookman Old Style"/>
                <w:color w:val="000000"/>
                <w:lang w:val="en-IN" w:eastAsia="en-IN"/>
              </w:rPr>
            </w:pPr>
            <w:r w:rsidRPr="009C65FB">
              <w:rPr>
                <w:rFonts w:ascii="Bookman Old Style" w:hAnsi="Bookman Old Style"/>
                <w:color w:val="000000"/>
                <w:lang w:val="en-IN" w:eastAsia="en-IN"/>
              </w:rPr>
              <w:t>0.00</w:t>
            </w:r>
          </w:p>
        </w:tc>
      </w:tr>
      <w:tr w:rsidR="00381ACE" w:rsidRPr="009C65FB" w:rsidTr="00E139D2">
        <w:trPr>
          <w:trHeight w:val="267"/>
          <w:jc w:val="center"/>
        </w:trPr>
        <w:tc>
          <w:tcPr>
            <w:tcW w:w="4723" w:type="dxa"/>
            <w:tcBorders>
              <w:top w:val="nil"/>
              <w:left w:val="single" w:sz="4" w:space="0" w:color="auto"/>
              <w:bottom w:val="single" w:sz="4" w:space="0" w:color="auto"/>
              <w:right w:val="single" w:sz="4" w:space="0" w:color="auto"/>
            </w:tcBorders>
            <w:shd w:val="clear" w:color="auto" w:fill="auto"/>
            <w:noWrap/>
            <w:vAlign w:val="bottom"/>
            <w:hideMark/>
          </w:tcPr>
          <w:p w:rsidR="00381ACE" w:rsidRPr="000A1A44" w:rsidRDefault="00381ACE" w:rsidP="00E139D2">
            <w:pPr>
              <w:pStyle w:val="NoSpacing"/>
              <w:ind w:right="67"/>
              <w:rPr>
                <w:rFonts w:ascii="Bookman Old Style" w:hAnsi="Bookman Old Style"/>
                <w:b/>
                <w:color w:val="000000"/>
                <w:lang w:val="en-IN" w:eastAsia="en-IN"/>
              </w:rPr>
            </w:pPr>
            <w:r w:rsidRPr="000A1A44">
              <w:rPr>
                <w:rFonts w:ascii="Bookman Old Style" w:hAnsi="Bookman Old Style"/>
                <w:b/>
                <w:color w:val="000000"/>
                <w:lang w:val="en-IN" w:eastAsia="en-IN"/>
              </w:rPr>
              <w:t>Total</w:t>
            </w:r>
          </w:p>
        </w:tc>
        <w:tc>
          <w:tcPr>
            <w:tcW w:w="1381"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F56AC9">
            <w:pPr>
              <w:pStyle w:val="NoSpacing"/>
              <w:ind w:right="67"/>
              <w:jc w:val="right"/>
              <w:rPr>
                <w:rFonts w:ascii="Bookman Old Style" w:hAnsi="Bookman Old Style"/>
                <w:b/>
                <w:lang w:val="en-IN" w:eastAsia="en-IN"/>
              </w:rPr>
            </w:pPr>
            <w:r w:rsidRPr="009C65FB">
              <w:rPr>
                <w:rFonts w:ascii="Bookman Old Style" w:hAnsi="Bookman Old Style"/>
                <w:b/>
                <w:lang w:val="en-IN" w:eastAsia="en-IN"/>
              </w:rPr>
              <w:t>4.00</w:t>
            </w:r>
          </w:p>
        </w:tc>
        <w:tc>
          <w:tcPr>
            <w:tcW w:w="1148"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F56AC9">
            <w:pPr>
              <w:pStyle w:val="NoSpacing"/>
              <w:ind w:right="67"/>
              <w:jc w:val="right"/>
              <w:rPr>
                <w:rFonts w:ascii="Bookman Old Style" w:hAnsi="Bookman Old Style"/>
                <w:b/>
                <w:color w:val="000000"/>
                <w:lang w:val="en-IN" w:eastAsia="en-IN"/>
              </w:rPr>
            </w:pPr>
            <w:r w:rsidRPr="009C65FB">
              <w:rPr>
                <w:rFonts w:ascii="Bookman Old Style" w:hAnsi="Bookman Old Style"/>
                <w:b/>
                <w:color w:val="000000"/>
                <w:lang w:val="en-IN" w:eastAsia="en-IN"/>
              </w:rPr>
              <w:t>22.29</w:t>
            </w:r>
          </w:p>
        </w:tc>
      </w:tr>
    </w:tbl>
    <w:p w:rsidR="008B0A50" w:rsidRDefault="008B0A50" w:rsidP="00717D3E">
      <w:pPr>
        <w:spacing w:line="360" w:lineRule="auto"/>
        <w:ind w:right="67"/>
        <w:jc w:val="both"/>
        <w:rPr>
          <w:rFonts w:ascii="Bookman Old Style" w:eastAsiaTheme="minorEastAsia" w:hAnsi="Bookman Old Style" w:cs="Arial"/>
          <w:b/>
          <w:sz w:val="28"/>
          <w:szCs w:val="24"/>
        </w:rPr>
      </w:pPr>
    </w:p>
    <w:p w:rsidR="00381ACE" w:rsidRPr="00383516" w:rsidRDefault="000A1A44" w:rsidP="00717D3E">
      <w:pPr>
        <w:spacing w:line="360" w:lineRule="auto"/>
        <w:ind w:right="67"/>
        <w:jc w:val="both"/>
        <w:rPr>
          <w:rFonts w:ascii="Bookman Old Style" w:eastAsiaTheme="minorEastAsia" w:hAnsi="Bookman Old Style" w:cs="Arial"/>
          <w:b/>
          <w:sz w:val="28"/>
          <w:szCs w:val="24"/>
        </w:rPr>
      </w:pPr>
      <w:r>
        <w:rPr>
          <w:rFonts w:ascii="Bookman Old Style" w:eastAsiaTheme="minorEastAsia" w:hAnsi="Bookman Old Style" w:cs="Arial"/>
          <w:b/>
          <w:sz w:val="28"/>
          <w:szCs w:val="24"/>
        </w:rPr>
        <w:t>Expenses capitalized:</w:t>
      </w:r>
    </w:p>
    <w:p w:rsidR="00381ACE" w:rsidRDefault="00381ACE" w:rsidP="00717D3E">
      <w:pPr>
        <w:shd w:val="clear" w:color="auto" w:fill="FFFFFF" w:themeFill="background1"/>
        <w:spacing w:line="360" w:lineRule="auto"/>
        <w:ind w:right="67"/>
        <w:jc w:val="both"/>
        <w:rPr>
          <w:rFonts w:ascii="Bookman Old Style" w:eastAsiaTheme="minorEastAsia" w:hAnsi="Bookman Old Style" w:cs="Arial"/>
        </w:rPr>
      </w:pPr>
      <w:r w:rsidRPr="009F1B7B">
        <w:rPr>
          <w:rFonts w:ascii="Bookman Old Style" w:eastAsiaTheme="minorEastAsia" w:hAnsi="Bookman Old Style" w:cs="Arial"/>
        </w:rPr>
        <w:t xml:space="preserve">As per the audited accounts following are the expenses capitalized. </w:t>
      </w:r>
      <w:r>
        <w:rPr>
          <w:rFonts w:ascii="Bookman Old Style" w:eastAsiaTheme="minorEastAsia" w:hAnsi="Bookman Old Style" w:cs="Arial"/>
        </w:rPr>
        <w:t xml:space="preserve">Hon’ble </w:t>
      </w:r>
      <w:r w:rsidRPr="009F1B7B">
        <w:rPr>
          <w:rFonts w:ascii="Bookman Old Style" w:eastAsiaTheme="minorEastAsia" w:hAnsi="Bookman Old Style" w:cs="Arial"/>
        </w:rPr>
        <w:t xml:space="preserve">Commission is requested to allow </w:t>
      </w:r>
      <w:r>
        <w:rPr>
          <w:rFonts w:ascii="Bookman Old Style" w:eastAsiaTheme="minorEastAsia" w:hAnsi="Bookman Old Style" w:cs="Arial"/>
        </w:rPr>
        <w:t>Rs.212.39</w:t>
      </w:r>
      <w:r w:rsidRPr="009F1B7B">
        <w:rPr>
          <w:rFonts w:ascii="Bookman Old Style" w:eastAsiaTheme="minorEastAsia" w:hAnsi="Bookman Old Style" w:cs="Arial"/>
        </w:rPr>
        <w:t xml:space="preserve"> Cr to capitalize for FY-</w:t>
      </w:r>
      <w:r>
        <w:rPr>
          <w:rFonts w:ascii="Bookman Old Style" w:eastAsiaTheme="minorEastAsia" w:hAnsi="Bookman Old Style" w:cs="Arial"/>
        </w:rPr>
        <w:t xml:space="preserve">20 </w:t>
      </w:r>
      <w:r w:rsidRPr="00D61AC7">
        <w:rPr>
          <w:rFonts w:ascii="Bookman Old Style" w:eastAsiaTheme="minorEastAsia" w:hAnsi="Bookman Old Style" w:cs="Arial"/>
        </w:rPr>
        <w:t>as against Commission approved amount of Rs.</w:t>
      </w:r>
      <w:r>
        <w:rPr>
          <w:rFonts w:ascii="Bookman Old Style" w:eastAsiaTheme="minorEastAsia" w:hAnsi="Bookman Old Style" w:cs="Arial"/>
        </w:rPr>
        <w:t>99.75</w:t>
      </w:r>
      <w:r w:rsidRPr="00D61AC7">
        <w:rPr>
          <w:rFonts w:ascii="Bookman Old Style" w:eastAsiaTheme="minorEastAsia" w:hAnsi="Bookman Old Style" w:cs="Arial"/>
        </w:rPr>
        <w:t xml:space="preserve"> Crs</w:t>
      </w:r>
      <w:r>
        <w:rPr>
          <w:rFonts w:ascii="Bookman Old Style" w:eastAsiaTheme="minorEastAsia" w:hAnsi="Bookman Old Style" w:cs="Arial"/>
        </w:rPr>
        <w:t>.</w:t>
      </w:r>
    </w:p>
    <w:p w:rsidR="004D2832" w:rsidRPr="006537C6" w:rsidRDefault="004D2832" w:rsidP="004D2832">
      <w:pPr>
        <w:shd w:val="clear" w:color="auto" w:fill="FFFFFF" w:themeFill="background1"/>
        <w:spacing w:line="360" w:lineRule="auto"/>
        <w:ind w:right="67"/>
        <w:jc w:val="center"/>
        <w:rPr>
          <w:rFonts w:ascii="Bookman Old Style" w:eastAsiaTheme="minorEastAsia" w:hAnsi="Bookman Old Style" w:cs="Arial"/>
          <w:sz w:val="20"/>
        </w:rPr>
      </w:pPr>
      <w:r>
        <w:rPr>
          <w:rFonts w:ascii="Bookman Old Style" w:hAnsi="Bookman Old Style" w:cs="Calibri"/>
          <w:b/>
          <w:bCs/>
          <w:sz w:val="20"/>
          <w:lang w:eastAsia="en-IN"/>
        </w:rPr>
        <w:t xml:space="preserve">                                           </w:t>
      </w:r>
      <w:r w:rsidRPr="006537C6">
        <w:rPr>
          <w:rFonts w:ascii="Bookman Old Style" w:hAnsi="Bookman Old Style" w:cs="Calibri"/>
          <w:b/>
          <w:bCs/>
          <w:sz w:val="18"/>
          <w:lang w:eastAsia="en-IN"/>
        </w:rPr>
        <w:t>Table 3.</w:t>
      </w:r>
      <w:r w:rsidRPr="006537C6">
        <w:rPr>
          <w:rFonts w:ascii="Bookman Old Style" w:hAnsi="Bookman Old Style" w:cs="Calibri"/>
          <w:b/>
          <w:bCs/>
          <w:sz w:val="18"/>
          <w:szCs w:val="20"/>
          <w:lang w:eastAsia="en-IN"/>
        </w:rPr>
        <w:t>3</w:t>
      </w:r>
      <w:r w:rsidR="001F0DC3">
        <w:rPr>
          <w:rFonts w:ascii="Bookman Old Style" w:hAnsi="Bookman Old Style" w:cs="Calibri"/>
          <w:b/>
          <w:bCs/>
          <w:sz w:val="18"/>
          <w:szCs w:val="20"/>
          <w:lang w:eastAsia="en-IN"/>
        </w:rPr>
        <w:t>7</w:t>
      </w:r>
      <w:r w:rsidRPr="006537C6">
        <w:rPr>
          <w:rFonts w:ascii="Bookman Old Style" w:hAnsi="Bookman Old Style" w:cs="Calibri"/>
          <w:b/>
          <w:bCs/>
          <w:sz w:val="18"/>
          <w:szCs w:val="20"/>
          <w:lang w:eastAsia="en-IN"/>
        </w:rPr>
        <w:t xml:space="preserve">      </w:t>
      </w:r>
      <w:r w:rsidR="00BB7048">
        <w:rPr>
          <w:rFonts w:ascii="Bookman Old Style" w:hAnsi="Bookman Old Style" w:cs="Calibri"/>
          <w:b/>
          <w:bCs/>
          <w:sz w:val="18"/>
          <w:szCs w:val="20"/>
          <w:lang w:eastAsia="en-IN"/>
        </w:rPr>
        <w:t xml:space="preserve"> </w:t>
      </w:r>
      <w:r w:rsidRPr="006537C6">
        <w:rPr>
          <w:rFonts w:ascii="Bookman Old Style" w:hAnsi="Bookman Old Style" w:cs="Calibri"/>
          <w:b/>
          <w:bCs/>
          <w:sz w:val="18"/>
          <w:szCs w:val="20"/>
          <w:lang w:eastAsia="en-IN"/>
        </w:rPr>
        <w:t xml:space="preserve">       </w:t>
      </w:r>
      <w:r w:rsidRPr="006537C6">
        <w:rPr>
          <w:rFonts w:ascii="Bookman Old Style" w:eastAsiaTheme="minorEastAsia" w:hAnsi="Bookman Old Style" w:cs="Arial"/>
          <w:b/>
          <w:sz w:val="18"/>
          <w:szCs w:val="20"/>
        </w:rPr>
        <w:t xml:space="preserve">              Amount in Crs.</w:t>
      </w:r>
    </w:p>
    <w:tbl>
      <w:tblPr>
        <w:tblW w:w="7371" w:type="dxa"/>
        <w:jc w:val="center"/>
        <w:tblLook w:val="04A0" w:firstRow="1" w:lastRow="0" w:firstColumn="1" w:lastColumn="0" w:noHBand="0" w:noVBand="1"/>
      </w:tblPr>
      <w:tblGrid>
        <w:gridCol w:w="4660"/>
        <w:gridCol w:w="1362"/>
        <w:gridCol w:w="1417"/>
      </w:tblGrid>
      <w:tr w:rsidR="00381ACE" w:rsidRPr="009C65FB" w:rsidTr="00BD77E2">
        <w:trPr>
          <w:trHeight w:val="3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ACE" w:rsidRPr="009C65FB" w:rsidRDefault="00381ACE" w:rsidP="008B0A50">
            <w:pPr>
              <w:spacing w:after="0" w:line="240" w:lineRule="auto"/>
              <w:ind w:right="67"/>
              <w:rPr>
                <w:rFonts w:ascii="Bookman Old Style" w:hAnsi="Bookman Old Style"/>
                <w:b/>
                <w:bCs/>
                <w:szCs w:val="24"/>
                <w:lang w:eastAsia="en-IN"/>
              </w:rPr>
            </w:pPr>
            <w:r w:rsidRPr="009C65FB">
              <w:rPr>
                <w:rFonts w:ascii="Bookman Old Style" w:hAnsi="Bookman Old Style"/>
                <w:b/>
                <w:bCs/>
                <w:szCs w:val="24"/>
                <w:lang w:eastAsia="en-IN"/>
              </w:rPr>
              <w:t>Expenses Capitalised:</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381ACE" w:rsidRPr="00BD77E2" w:rsidRDefault="00381ACE" w:rsidP="008B0A50">
            <w:pPr>
              <w:spacing w:after="0" w:line="240" w:lineRule="auto"/>
              <w:ind w:right="67"/>
              <w:jc w:val="center"/>
              <w:rPr>
                <w:rFonts w:ascii="Bookman Old Style" w:hAnsi="Bookman Old Style"/>
                <w:b/>
                <w:szCs w:val="24"/>
                <w:lang w:eastAsia="en-IN"/>
              </w:rPr>
            </w:pPr>
            <w:r w:rsidRPr="00BD77E2">
              <w:rPr>
                <w:rFonts w:ascii="Bookman Old Style" w:hAnsi="Bookman Old Style"/>
                <w:b/>
                <w:szCs w:val="24"/>
                <w:lang w:eastAsia="en-IN"/>
              </w:rPr>
              <w:t>Approved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81ACE" w:rsidRPr="00BD77E2" w:rsidRDefault="00381ACE" w:rsidP="008B0A50">
            <w:pPr>
              <w:spacing w:after="0" w:line="240" w:lineRule="auto"/>
              <w:ind w:right="67"/>
              <w:jc w:val="center"/>
              <w:rPr>
                <w:rFonts w:ascii="Bookman Old Style" w:hAnsi="Bookman Old Style"/>
                <w:b/>
                <w:szCs w:val="24"/>
                <w:lang w:eastAsia="en-IN"/>
              </w:rPr>
            </w:pPr>
            <w:r w:rsidRPr="00BD77E2">
              <w:rPr>
                <w:rFonts w:ascii="Bookman Old Style" w:hAnsi="Bookman Old Style"/>
                <w:b/>
                <w:szCs w:val="24"/>
                <w:lang w:eastAsia="en-IN"/>
              </w:rPr>
              <w:t>Actuals</w:t>
            </w:r>
          </w:p>
        </w:tc>
      </w:tr>
      <w:tr w:rsidR="00381ACE" w:rsidRPr="009C65FB" w:rsidTr="00BD77E2">
        <w:trPr>
          <w:trHeight w:val="295"/>
          <w:jc w:val="center"/>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81ACE" w:rsidRPr="009C65FB" w:rsidRDefault="00381ACE" w:rsidP="008B0A50">
            <w:pPr>
              <w:spacing w:after="0" w:line="240" w:lineRule="auto"/>
              <w:ind w:right="67"/>
              <w:rPr>
                <w:rFonts w:ascii="Bookman Old Style" w:hAnsi="Bookman Old Style"/>
                <w:szCs w:val="24"/>
                <w:lang w:eastAsia="en-IN"/>
              </w:rPr>
            </w:pPr>
            <w:r w:rsidRPr="009C65FB">
              <w:rPr>
                <w:rFonts w:ascii="Bookman Old Style" w:hAnsi="Bookman Old Style"/>
                <w:szCs w:val="24"/>
                <w:lang w:eastAsia="en-IN"/>
              </w:rPr>
              <w:t>Interest Capitalized</w:t>
            </w:r>
          </w:p>
        </w:tc>
        <w:tc>
          <w:tcPr>
            <w:tcW w:w="1294"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8B0A50">
            <w:pPr>
              <w:spacing w:after="0" w:line="240" w:lineRule="auto"/>
              <w:ind w:right="67"/>
              <w:jc w:val="center"/>
              <w:rPr>
                <w:rFonts w:ascii="Bookman Old Style" w:hAnsi="Bookman Old Style"/>
                <w:szCs w:val="24"/>
                <w:lang w:eastAsia="en-IN"/>
              </w:rPr>
            </w:pPr>
          </w:p>
        </w:tc>
        <w:tc>
          <w:tcPr>
            <w:tcW w:w="1417"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8B0A50">
            <w:pPr>
              <w:spacing w:after="0" w:line="240" w:lineRule="auto"/>
              <w:ind w:right="67"/>
              <w:jc w:val="right"/>
              <w:rPr>
                <w:rFonts w:ascii="Bookman Old Style" w:hAnsi="Bookman Old Style"/>
                <w:szCs w:val="24"/>
                <w:lang w:eastAsia="en-IN"/>
              </w:rPr>
            </w:pPr>
            <w:r w:rsidRPr="009C65FB">
              <w:rPr>
                <w:rFonts w:ascii="Bookman Old Style" w:hAnsi="Bookman Old Style"/>
                <w:szCs w:val="24"/>
                <w:lang w:eastAsia="en-IN"/>
              </w:rPr>
              <w:t>-206.48</w:t>
            </w:r>
          </w:p>
        </w:tc>
      </w:tr>
      <w:tr w:rsidR="00381ACE" w:rsidRPr="009C65FB" w:rsidTr="00BD77E2">
        <w:trPr>
          <w:trHeight w:val="315"/>
          <w:jc w:val="center"/>
        </w:trPr>
        <w:tc>
          <w:tcPr>
            <w:tcW w:w="4660" w:type="dxa"/>
            <w:tcBorders>
              <w:top w:val="nil"/>
              <w:left w:val="single" w:sz="4" w:space="0" w:color="auto"/>
              <w:bottom w:val="single" w:sz="4" w:space="0" w:color="auto"/>
              <w:right w:val="single" w:sz="4" w:space="0" w:color="auto"/>
            </w:tcBorders>
            <w:shd w:val="clear" w:color="000000" w:fill="FFFFFF"/>
            <w:noWrap/>
            <w:vAlign w:val="bottom"/>
            <w:hideMark/>
          </w:tcPr>
          <w:p w:rsidR="00381ACE" w:rsidRPr="009C65FB" w:rsidRDefault="00381ACE" w:rsidP="008B0A50">
            <w:pPr>
              <w:spacing w:after="0" w:line="240" w:lineRule="auto"/>
              <w:ind w:right="67"/>
              <w:rPr>
                <w:rFonts w:ascii="Bookman Old Style" w:hAnsi="Bookman Old Style"/>
                <w:szCs w:val="24"/>
                <w:lang w:eastAsia="en-IN"/>
              </w:rPr>
            </w:pPr>
            <w:r w:rsidRPr="009C65FB">
              <w:rPr>
                <w:rFonts w:ascii="Bookman Old Style" w:hAnsi="Bookman Old Style"/>
                <w:szCs w:val="24"/>
                <w:lang w:eastAsia="en-IN"/>
              </w:rPr>
              <w:t>Employee Cost</w:t>
            </w:r>
          </w:p>
        </w:tc>
        <w:tc>
          <w:tcPr>
            <w:tcW w:w="1294"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8B0A50">
            <w:pPr>
              <w:spacing w:after="0" w:line="240" w:lineRule="auto"/>
              <w:ind w:right="67"/>
              <w:jc w:val="center"/>
              <w:rPr>
                <w:rFonts w:ascii="Bookman Old Style" w:hAnsi="Bookman Old Style"/>
                <w:szCs w:val="24"/>
                <w:lang w:eastAsia="en-IN"/>
              </w:rPr>
            </w:pPr>
          </w:p>
        </w:tc>
        <w:tc>
          <w:tcPr>
            <w:tcW w:w="1417" w:type="dxa"/>
            <w:tcBorders>
              <w:top w:val="nil"/>
              <w:left w:val="nil"/>
              <w:bottom w:val="single" w:sz="4" w:space="0" w:color="auto"/>
              <w:right w:val="single" w:sz="4" w:space="0" w:color="auto"/>
            </w:tcBorders>
            <w:shd w:val="clear" w:color="000000" w:fill="FFFFFF"/>
            <w:noWrap/>
            <w:vAlign w:val="bottom"/>
            <w:hideMark/>
          </w:tcPr>
          <w:p w:rsidR="00381ACE" w:rsidRPr="009C65FB" w:rsidRDefault="00381ACE" w:rsidP="008B0A50">
            <w:pPr>
              <w:spacing w:after="0" w:line="240" w:lineRule="auto"/>
              <w:ind w:right="67"/>
              <w:jc w:val="right"/>
              <w:rPr>
                <w:rFonts w:ascii="Bookman Old Style" w:hAnsi="Bookman Old Style"/>
                <w:szCs w:val="24"/>
                <w:lang w:eastAsia="en-IN"/>
              </w:rPr>
            </w:pPr>
            <w:r w:rsidRPr="009C65FB">
              <w:rPr>
                <w:rFonts w:ascii="Bookman Old Style" w:hAnsi="Bookman Old Style"/>
                <w:szCs w:val="24"/>
                <w:lang w:eastAsia="en-IN"/>
              </w:rPr>
              <w:t>-5.27</w:t>
            </w:r>
          </w:p>
        </w:tc>
      </w:tr>
      <w:tr w:rsidR="00381ACE" w:rsidRPr="009C65FB" w:rsidTr="00BD77E2">
        <w:trPr>
          <w:trHeight w:val="315"/>
          <w:jc w:val="center"/>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81ACE" w:rsidRPr="009C65FB" w:rsidRDefault="00381ACE" w:rsidP="008B0A50">
            <w:pPr>
              <w:spacing w:after="0" w:line="240" w:lineRule="auto"/>
              <w:ind w:right="67"/>
              <w:rPr>
                <w:rFonts w:ascii="Bookman Old Style" w:hAnsi="Bookman Old Style"/>
                <w:szCs w:val="24"/>
                <w:lang w:eastAsia="en-IN"/>
              </w:rPr>
            </w:pPr>
            <w:r w:rsidRPr="009C65FB">
              <w:rPr>
                <w:rFonts w:ascii="Bookman Old Style" w:hAnsi="Bookman Old Style"/>
                <w:szCs w:val="24"/>
                <w:lang w:eastAsia="en-IN"/>
              </w:rPr>
              <w:t>Administrative and general expenses</w:t>
            </w:r>
          </w:p>
        </w:tc>
        <w:tc>
          <w:tcPr>
            <w:tcW w:w="1294"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8B0A50">
            <w:pPr>
              <w:spacing w:after="0" w:line="240" w:lineRule="auto"/>
              <w:ind w:right="67"/>
              <w:jc w:val="center"/>
              <w:rPr>
                <w:rFonts w:ascii="Bookman Old Style" w:hAnsi="Bookman Old Style"/>
                <w:szCs w:val="24"/>
                <w:lang w:eastAsia="en-IN"/>
              </w:rPr>
            </w:pPr>
          </w:p>
        </w:tc>
        <w:tc>
          <w:tcPr>
            <w:tcW w:w="1417"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8B0A50">
            <w:pPr>
              <w:spacing w:after="0" w:line="240" w:lineRule="auto"/>
              <w:ind w:right="67"/>
              <w:jc w:val="right"/>
              <w:rPr>
                <w:rFonts w:ascii="Bookman Old Style" w:hAnsi="Bookman Old Style"/>
                <w:szCs w:val="24"/>
                <w:lang w:eastAsia="en-IN"/>
              </w:rPr>
            </w:pPr>
            <w:r w:rsidRPr="009C65FB">
              <w:rPr>
                <w:rFonts w:ascii="Bookman Old Style" w:hAnsi="Bookman Old Style"/>
                <w:szCs w:val="24"/>
                <w:lang w:eastAsia="en-IN"/>
              </w:rPr>
              <w:t>-0.64</w:t>
            </w:r>
          </w:p>
        </w:tc>
      </w:tr>
      <w:tr w:rsidR="00381ACE" w:rsidRPr="009C65FB" w:rsidTr="00BD77E2">
        <w:trPr>
          <w:trHeight w:val="315"/>
          <w:jc w:val="center"/>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81ACE" w:rsidRPr="009C65FB" w:rsidRDefault="00381ACE" w:rsidP="008B0A50">
            <w:pPr>
              <w:spacing w:after="0" w:line="240" w:lineRule="auto"/>
              <w:ind w:right="67"/>
              <w:rPr>
                <w:rFonts w:ascii="Bookman Old Style" w:hAnsi="Bookman Old Style"/>
                <w:b/>
                <w:bCs/>
                <w:szCs w:val="24"/>
                <w:lang w:eastAsia="en-IN"/>
              </w:rPr>
            </w:pPr>
            <w:r w:rsidRPr="009C65FB">
              <w:rPr>
                <w:rFonts w:ascii="Bookman Old Style" w:hAnsi="Bookman Old Style"/>
                <w:b/>
                <w:bCs/>
                <w:szCs w:val="24"/>
                <w:lang w:eastAsia="en-IN"/>
              </w:rPr>
              <w:t>Total</w:t>
            </w:r>
          </w:p>
        </w:tc>
        <w:tc>
          <w:tcPr>
            <w:tcW w:w="1294"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8B0A50">
            <w:pPr>
              <w:spacing w:after="0" w:line="240" w:lineRule="auto"/>
              <w:ind w:right="67"/>
              <w:jc w:val="center"/>
              <w:rPr>
                <w:rFonts w:ascii="Bookman Old Style" w:hAnsi="Bookman Old Style"/>
                <w:b/>
                <w:szCs w:val="24"/>
                <w:lang w:eastAsia="en-IN"/>
              </w:rPr>
            </w:pPr>
            <w:r w:rsidRPr="009C65FB">
              <w:rPr>
                <w:rFonts w:ascii="Bookman Old Style" w:hAnsi="Bookman Old Style"/>
                <w:b/>
                <w:szCs w:val="24"/>
                <w:lang w:eastAsia="en-IN"/>
              </w:rPr>
              <w:t>99.75</w:t>
            </w:r>
          </w:p>
        </w:tc>
        <w:tc>
          <w:tcPr>
            <w:tcW w:w="1417" w:type="dxa"/>
            <w:tcBorders>
              <w:top w:val="nil"/>
              <w:left w:val="nil"/>
              <w:bottom w:val="single" w:sz="4" w:space="0" w:color="auto"/>
              <w:right w:val="single" w:sz="4" w:space="0" w:color="auto"/>
            </w:tcBorders>
            <w:shd w:val="clear" w:color="auto" w:fill="auto"/>
            <w:noWrap/>
            <w:vAlign w:val="bottom"/>
            <w:hideMark/>
          </w:tcPr>
          <w:p w:rsidR="00381ACE" w:rsidRPr="009C65FB" w:rsidRDefault="00381ACE" w:rsidP="008B0A50">
            <w:pPr>
              <w:spacing w:after="0" w:line="240" w:lineRule="auto"/>
              <w:ind w:right="67"/>
              <w:jc w:val="right"/>
              <w:rPr>
                <w:rFonts w:ascii="Bookman Old Style" w:hAnsi="Bookman Old Style"/>
                <w:b/>
                <w:bCs/>
                <w:szCs w:val="24"/>
                <w:lang w:eastAsia="en-IN"/>
              </w:rPr>
            </w:pPr>
            <w:r w:rsidRPr="009C65FB">
              <w:rPr>
                <w:rFonts w:ascii="Bookman Old Style" w:hAnsi="Bookman Old Style"/>
                <w:b/>
                <w:bCs/>
                <w:szCs w:val="24"/>
                <w:lang w:eastAsia="en-IN"/>
              </w:rPr>
              <w:t>-212.39</w:t>
            </w:r>
          </w:p>
        </w:tc>
      </w:tr>
    </w:tbl>
    <w:p w:rsidR="00381ACE" w:rsidRDefault="00381ACE" w:rsidP="00E139D2">
      <w:pPr>
        <w:shd w:val="clear" w:color="auto" w:fill="FFFFFF" w:themeFill="background1"/>
        <w:spacing w:line="240" w:lineRule="auto"/>
        <w:ind w:right="67"/>
        <w:jc w:val="both"/>
        <w:rPr>
          <w:rFonts w:ascii="Bookman Old Style" w:eastAsiaTheme="minorEastAsia" w:hAnsi="Bookman Old Style" w:cs="Arial"/>
        </w:rPr>
      </w:pPr>
    </w:p>
    <w:p w:rsidR="00381ACE" w:rsidRDefault="00381ACE" w:rsidP="00717D3E">
      <w:pPr>
        <w:spacing w:line="360" w:lineRule="auto"/>
        <w:ind w:right="67"/>
        <w:jc w:val="both"/>
        <w:rPr>
          <w:rFonts w:ascii="Bookman Old Style" w:eastAsiaTheme="minorEastAsia" w:hAnsi="Bookman Old Style" w:cs="Arial"/>
        </w:rPr>
      </w:pPr>
      <w:r w:rsidRPr="00205413">
        <w:rPr>
          <w:rFonts w:ascii="Bookman Old Style" w:eastAsiaTheme="minorEastAsia" w:hAnsi="Bookman Old Style" w:cs="Arial"/>
        </w:rPr>
        <w:t>Interest and Finance Charges approved, actual and proposed for truing up for FY-20 is tabulated as under:</w:t>
      </w:r>
    </w:p>
    <w:p w:rsidR="004D2832" w:rsidRPr="00205413" w:rsidRDefault="004D2832" w:rsidP="004D2832">
      <w:pPr>
        <w:spacing w:line="360" w:lineRule="auto"/>
        <w:ind w:right="67"/>
        <w:jc w:val="center"/>
        <w:rPr>
          <w:rFonts w:ascii="Bookman Old Style" w:eastAsiaTheme="minorEastAsia" w:hAnsi="Bookman Old Style" w:cs="Arial"/>
        </w:rPr>
      </w:pPr>
      <w:r>
        <w:rPr>
          <w:rFonts w:ascii="Bookman Old Style" w:hAnsi="Bookman Old Style" w:cs="Calibri"/>
          <w:b/>
          <w:bCs/>
          <w:sz w:val="20"/>
          <w:lang w:eastAsia="en-IN"/>
        </w:rPr>
        <w:t xml:space="preserve">                                                </w:t>
      </w:r>
      <w:r w:rsidRPr="006537C6">
        <w:rPr>
          <w:rFonts w:ascii="Bookman Old Style" w:hAnsi="Bookman Old Style" w:cs="Calibri"/>
          <w:b/>
          <w:bCs/>
          <w:sz w:val="18"/>
          <w:lang w:eastAsia="en-IN"/>
        </w:rPr>
        <w:t>Table 3.</w:t>
      </w:r>
      <w:r w:rsidRPr="006537C6">
        <w:rPr>
          <w:rFonts w:ascii="Bookman Old Style" w:hAnsi="Bookman Old Style" w:cs="Calibri"/>
          <w:b/>
          <w:bCs/>
          <w:sz w:val="18"/>
          <w:szCs w:val="20"/>
          <w:lang w:eastAsia="en-IN"/>
        </w:rPr>
        <w:t>3</w:t>
      </w:r>
      <w:r w:rsidR="001F0DC3">
        <w:rPr>
          <w:rFonts w:ascii="Bookman Old Style" w:hAnsi="Bookman Old Style" w:cs="Calibri"/>
          <w:b/>
          <w:bCs/>
          <w:sz w:val="18"/>
          <w:szCs w:val="20"/>
          <w:lang w:eastAsia="en-IN"/>
        </w:rPr>
        <w:t>8</w:t>
      </w:r>
      <w:r w:rsidRPr="006537C6">
        <w:rPr>
          <w:rFonts w:ascii="Bookman Old Style" w:hAnsi="Bookman Old Style" w:cs="Calibri"/>
          <w:b/>
          <w:bCs/>
          <w:sz w:val="18"/>
          <w:szCs w:val="20"/>
          <w:lang w:eastAsia="en-IN"/>
        </w:rPr>
        <w:t xml:space="preserve">     </w:t>
      </w:r>
      <w:r w:rsidR="00BB7048">
        <w:rPr>
          <w:rFonts w:ascii="Bookman Old Style" w:hAnsi="Bookman Old Style" w:cs="Calibri"/>
          <w:b/>
          <w:bCs/>
          <w:sz w:val="18"/>
          <w:szCs w:val="20"/>
          <w:lang w:eastAsia="en-IN"/>
        </w:rPr>
        <w:t xml:space="preserve"> </w:t>
      </w:r>
      <w:r w:rsidRPr="006537C6">
        <w:rPr>
          <w:rFonts w:ascii="Bookman Old Style" w:eastAsiaTheme="minorEastAsia" w:hAnsi="Bookman Old Style" w:cs="Arial"/>
          <w:b/>
          <w:sz w:val="18"/>
          <w:szCs w:val="20"/>
        </w:rPr>
        <w:t xml:space="preserve">                          Amount in Crs.</w:t>
      </w:r>
    </w:p>
    <w:tbl>
      <w:tblPr>
        <w:tblW w:w="8788" w:type="dxa"/>
        <w:jc w:val="center"/>
        <w:tblLayout w:type="fixed"/>
        <w:tblLook w:val="04A0" w:firstRow="1" w:lastRow="0" w:firstColumn="1" w:lastColumn="0" w:noHBand="0" w:noVBand="1"/>
      </w:tblPr>
      <w:tblGrid>
        <w:gridCol w:w="3118"/>
        <w:gridCol w:w="2126"/>
        <w:gridCol w:w="1669"/>
        <w:gridCol w:w="1875"/>
      </w:tblGrid>
      <w:tr w:rsidR="00381ACE" w:rsidRPr="00F56AC9" w:rsidTr="00E139D2">
        <w:trPr>
          <w:trHeight w:val="879"/>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ACE" w:rsidRPr="00F56AC9" w:rsidRDefault="00381ACE" w:rsidP="008B0A50">
            <w:pPr>
              <w:pStyle w:val="NoSpacing"/>
              <w:ind w:right="67"/>
              <w:jc w:val="center"/>
              <w:rPr>
                <w:rFonts w:ascii="Bookman Old Style" w:hAnsi="Bookman Old Style"/>
                <w:b/>
                <w:lang w:val="en-IN" w:eastAsia="en-IN"/>
              </w:rPr>
            </w:pPr>
            <w:r w:rsidRPr="00F56AC9">
              <w:rPr>
                <w:rFonts w:ascii="Bookman Old Style" w:hAnsi="Bookman Old Style"/>
                <w:b/>
                <w:lang w:val="en-IN" w:eastAsia="en-IN"/>
              </w:rPr>
              <w:t>Particulars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81ACE" w:rsidRPr="00F56AC9" w:rsidRDefault="00381ACE" w:rsidP="008B0A50">
            <w:pPr>
              <w:pStyle w:val="NoSpacing"/>
              <w:ind w:right="67"/>
              <w:jc w:val="center"/>
              <w:rPr>
                <w:rFonts w:ascii="Bookman Old Style" w:hAnsi="Bookman Old Style"/>
                <w:b/>
                <w:lang w:val="en-IN" w:eastAsia="en-IN"/>
              </w:rPr>
            </w:pPr>
            <w:r w:rsidRPr="00F56AC9">
              <w:rPr>
                <w:rFonts w:ascii="Bookman Old Style" w:hAnsi="Bookman Old Style"/>
                <w:b/>
                <w:lang w:val="en-IN" w:eastAsia="en-IN"/>
              </w:rPr>
              <w:t>Approved by the Commission for FY-20</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381ACE" w:rsidRPr="00F56AC9" w:rsidRDefault="00381ACE" w:rsidP="008B0A50">
            <w:pPr>
              <w:pStyle w:val="NoSpacing"/>
              <w:ind w:right="67"/>
              <w:jc w:val="center"/>
              <w:rPr>
                <w:rFonts w:ascii="Bookman Old Style" w:hAnsi="Bookman Old Style"/>
                <w:b/>
                <w:lang w:val="en-IN" w:eastAsia="en-IN"/>
              </w:rPr>
            </w:pPr>
            <w:r w:rsidRPr="00F56AC9">
              <w:rPr>
                <w:rFonts w:ascii="Bookman Old Style" w:hAnsi="Bookman Old Style"/>
                <w:b/>
                <w:lang w:val="en-IN" w:eastAsia="en-IN"/>
              </w:rPr>
              <w:t>Actual as per Accounts FY-20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381ACE" w:rsidRPr="00F56AC9" w:rsidRDefault="00381ACE" w:rsidP="008B0A50">
            <w:pPr>
              <w:pStyle w:val="NoSpacing"/>
              <w:ind w:right="67"/>
              <w:jc w:val="center"/>
              <w:rPr>
                <w:rFonts w:ascii="Bookman Old Style" w:hAnsi="Bookman Old Style"/>
                <w:b/>
                <w:lang w:val="en-IN" w:eastAsia="en-IN"/>
              </w:rPr>
            </w:pPr>
            <w:r w:rsidRPr="00F56AC9">
              <w:rPr>
                <w:rFonts w:ascii="Bookman Old Style" w:hAnsi="Bookman Old Style"/>
                <w:b/>
                <w:lang w:val="en-IN" w:eastAsia="en-IN"/>
              </w:rPr>
              <w:t>Proposed for truing up on normative basis FY-20</w:t>
            </w:r>
          </w:p>
        </w:tc>
      </w:tr>
      <w:tr w:rsidR="00381ACE" w:rsidRPr="00F56AC9" w:rsidTr="00E139D2">
        <w:trPr>
          <w:trHeight w:val="71"/>
          <w:jc w:val="center"/>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381ACE" w:rsidRPr="00F56AC9" w:rsidRDefault="00381ACE" w:rsidP="008B0A50">
            <w:pPr>
              <w:pStyle w:val="NoSpacing"/>
              <w:ind w:right="67"/>
              <w:rPr>
                <w:rFonts w:ascii="Bookman Old Style" w:hAnsi="Bookman Old Style"/>
                <w:lang w:val="en-IN" w:eastAsia="en-IN"/>
              </w:rPr>
            </w:pPr>
            <w:r w:rsidRPr="00F56AC9">
              <w:rPr>
                <w:rFonts w:ascii="Bookman Old Style" w:hAnsi="Bookman Old Style"/>
                <w:lang w:val="en-IN" w:eastAsia="en-IN"/>
              </w:rPr>
              <w:t>Interest on Loan Capital</w:t>
            </w:r>
          </w:p>
        </w:tc>
        <w:tc>
          <w:tcPr>
            <w:tcW w:w="2126" w:type="dxa"/>
            <w:tcBorders>
              <w:top w:val="nil"/>
              <w:left w:val="nil"/>
              <w:bottom w:val="single" w:sz="4" w:space="0" w:color="auto"/>
              <w:right w:val="single" w:sz="4" w:space="0" w:color="auto"/>
            </w:tcBorders>
            <w:shd w:val="clear" w:color="auto" w:fill="auto"/>
            <w:vAlign w:val="bottom"/>
            <w:hideMark/>
          </w:tcPr>
          <w:p w:rsidR="00381ACE" w:rsidRPr="00F56AC9" w:rsidRDefault="00381ACE" w:rsidP="008B0A50">
            <w:pPr>
              <w:pStyle w:val="NoSpacing"/>
              <w:ind w:right="67"/>
              <w:jc w:val="right"/>
              <w:rPr>
                <w:rFonts w:ascii="Bookman Old Style" w:hAnsi="Bookman Old Style"/>
                <w:color w:val="000000" w:themeColor="text1"/>
                <w:lang w:val="en-IN" w:eastAsia="en-IN"/>
              </w:rPr>
            </w:pPr>
            <w:r w:rsidRPr="00F56AC9">
              <w:rPr>
                <w:rFonts w:ascii="Bookman Old Style" w:hAnsi="Bookman Old Style"/>
                <w:color w:val="000000" w:themeColor="text1"/>
                <w:lang w:val="en-IN" w:eastAsia="en-IN"/>
              </w:rPr>
              <w:t>430.91</w:t>
            </w:r>
          </w:p>
        </w:tc>
        <w:tc>
          <w:tcPr>
            <w:tcW w:w="1669" w:type="dxa"/>
            <w:tcBorders>
              <w:top w:val="nil"/>
              <w:left w:val="nil"/>
              <w:bottom w:val="single" w:sz="4" w:space="0" w:color="auto"/>
              <w:right w:val="single" w:sz="4" w:space="0" w:color="auto"/>
            </w:tcBorders>
            <w:shd w:val="clear" w:color="000000" w:fill="FFFFFF"/>
            <w:vAlign w:val="bottom"/>
            <w:hideMark/>
          </w:tcPr>
          <w:p w:rsidR="00381ACE" w:rsidRPr="00F56AC9" w:rsidRDefault="00381ACE" w:rsidP="008B0A50">
            <w:pPr>
              <w:pStyle w:val="NoSpacing"/>
              <w:ind w:right="67"/>
              <w:jc w:val="right"/>
              <w:rPr>
                <w:rFonts w:ascii="Bookman Old Style" w:hAnsi="Bookman Old Style"/>
                <w:color w:val="000000" w:themeColor="text1"/>
                <w:lang w:val="en-IN" w:eastAsia="en-IN"/>
              </w:rPr>
            </w:pPr>
            <w:r w:rsidRPr="00F56AC9">
              <w:rPr>
                <w:rFonts w:ascii="Bookman Old Style" w:hAnsi="Bookman Old Style"/>
                <w:color w:val="000000" w:themeColor="text1"/>
                <w:lang w:val="en-IN" w:eastAsia="en-IN"/>
              </w:rPr>
              <w:t xml:space="preserve">489.28 </w:t>
            </w:r>
          </w:p>
        </w:tc>
        <w:tc>
          <w:tcPr>
            <w:tcW w:w="1875" w:type="dxa"/>
            <w:tcBorders>
              <w:top w:val="nil"/>
              <w:left w:val="nil"/>
              <w:bottom w:val="single" w:sz="4" w:space="0" w:color="auto"/>
              <w:right w:val="single" w:sz="4" w:space="0" w:color="auto"/>
            </w:tcBorders>
            <w:shd w:val="clear" w:color="000000" w:fill="FFFFFF"/>
            <w:vAlign w:val="bottom"/>
            <w:hideMark/>
          </w:tcPr>
          <w:p w:rsidR="00381ACE" w:rsidRPr="00F56AC9" w:rsidRDefault="00381ACE" w:rsidP="008B0A50">
            <w:pPr>
              <w:pStyle w:val="NoSpacing"/>
              <w:ind w:right="67"/>
              <w:jc w:val="right"/>
              <w:rPr>
                <w:rFonts w:ascii="Bookman Old Style" w:hAnsi="Bookman Old Style"/>
                <w:color w:val="000000" w:themeColor="text1"/>
                <w:lang w:val="en-IN" w:eastAsia="en-IN"/>
              </w:rPr>
            </w:pPr>
            <w:r w:rsidRPr="00F56AC9">
              <w:rPr>
                <w:rFonts w:ascii="Bookman Old Style" w:hAnsi="Bookman Old Style"/>
                <w:color w:val="000000" w:themeColor="text1"/>
                <w:lang w:val="en-IN" w:eastAsia="en-IN"/>
              </w:rPr>
              <w:t xml:space="preserve">489.28 </w:t>
            </w:r>
          </w:p>
        </w:tc>
      </w:tr>
      <w:tr w:rsidR="00381ACE" w:rsidRPr="00F56AC9" w:rsidTr="00E139D2">
        <w:trPr>
          <w:trHeight w:val="158"/>
          <w:jc w:val="center"/>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381ACE" w:rsidRPr="00F56AC9" w:rsidRDefault="00381ACE" w:rsidP="008B0A50">
            <w:pPr>
              <w:pStyle w:val="NoSpacing"/>
              <w:ind w:right="67"/>
              <w:rPr>
                <w:rFonts w:ascii="Bookman Old Style" w:hAnsi="Bookman Old Style"/>
                <w:lang w:val="en-IN" w:eastAsia="en-IN"/>
              </w:rPr>
            </w:pPr>
            <w:r w:rsidRPr="00F56AC9">
              <w:rPr>
                <w:rFonts w:ascii="Bookman Old Style" w:hAnsi="Bookman Old Style"/>
                <w:lang w:val="en-IN" w:eastAsia="en-IN"/>
              </w:rPr>
              <w:t>Interest on Working Capital</w:t>
            </w:r>
          </w:p>
        </w:tc>
        <w:tc>
          <w:tcPr>
            <w:tcW w:w="2126" w:type="dxa"/>
            <w:tcBorders>
              <w:top w:val="nil"/>
              <w:left w:val="nil"/>
              <w:bottom w:val="single" w:sz="4" w:space="0" w:color="auto"/>
              <w:right w:val="single" w:sz="4" w:space="0" w:color="auto"/>
            </w:tcBorders>
            <w:shd w:val="clear" w:color="auto" w:fill="auto"/>
            <w:vAlign w:val="bottom"/>
            <w:hideMark/>
          </w:tcPr>
          <w:p w:rsidR="00381ACE" w:rsidRPr="00F56AC9" w:rsidRDefault="00381ACE" w:rsidP="008B0A50">
            <w:pPr>
              <w:pStyle w:val="NoSpacing"/>
              <w:ind w:right="67"/>
              <w:jc w:val="right"/>
              <w:rPr>
                <w:rFonts w:ascii="Bookman Old Style" w:hAnsi="Bookman Old Style"/>
                <w:color w:val="000000" w:themeColor="text1"/>
                <w:lang w:val="en-IN" w:eastAsia="en-IN"/>
              </w:rPr>
            </w:pPr>
            <w:r w:rsidRPr="00F56AC9">
              <w:rPr>
                <w:rFonts w:ascii="Bookman Old Style" w:hAnsi="Bookman Old Style"/>
                <w:color w:val="000000" w:themeColor="text1"/>
                <w:lang w:val="en-IN" w:eastAsia="en-IN"/>
              </w:rPr>
              <w:t>404.53</w:t>
            </w:r>
          </w:p>
        </w:tc>
        <w:tc>
          <w:tcPr>
            <w:tcW w:w="1669" w:type="dxa"/>
            <w:tcBorders>
              <w:top w:val="nil"/>
              <w:left w:val="nil"/>
              <w:bottom w:val="single" w:sz="4" w:space="0" w:color="auto"/>
              <w:right w:val="single" w:sz="4" w:space="0" w:color="auto"/>
            </w:tcBorders>
            <w:shd w:val="clear" w:color="000000" w:fill="FFFFFF"/>
            <w:vAlign w:val="bottom"/>
            <w:hideMark/>
          </w:tcPr>
          <w:p w:rsidR="00381ACE" w:rsidRPr="00F56AC9" w:rsidRDefault="00381ACE" w:rsidP="008B0A50">
            <w:pPr>
              <w:pStyle w:val="NoSpacing"/>
              <w:ind w:right="67"/>
              <w:jc w:val="right"/>
              <w:rPr>
                <w:rFonts w:ascii="Bookman Old Style" w:hAnsi="Bookman Old Style"/>
                <w:color w:val="000000" w:themeColor="text1"/>
                <w:lang w:val="en-IN" w:eastAsia="en-IN"/>
              </w:rPr>
            </w:pPr>
            <w:r w:rsidRPr="00F56AC9">
              <w:rPr>
                <w:rFonts w:ascii="Bookman Old Style" w:hAnsi="Bookman Old Style"/>
                <w:color w:val="000000" w:themeColor="text1"/>
                <w:lang w:val="en-IN" w:eastAsia="en-IN"/>
              </w:rPr>
              <w:t xml:space="preserve">380.25 </w:t>
            </w:r>
          </w:p>
        </w:tc>
        <w:tc>
          <w:tcPr>
            <w:tcW w:w="1875" w:type="dxa"/>
            <w:tcBorders>
              <w:top w:val="nil"/>
              <w:left w:val="nil"/>
              <w:bottom w:val="single" w:sz="4" w:space="0" w:color="auto"/>
              <w:right w:val="single" w:sz="4" w:space="0" w:color="auto"/>
            </w:tcBorders>
            <w:shd w:val="clear" w:color="000000" w:fill="FFFFFF"/>
            <w:vAlign w:val="bottom"/>
            <w:hideMark/>
          </w:tcPr>
          <w:p w:rsidR="00381ACE" w:rsidRPr="00F56AC9" w:rsidRDefault="00381ACE" w:rsidP="008B0A50">
            <w:pPr>
              <w:pStyle w:val="NoSpacing"/>
              <w:ind w:right="67"/>
              <w:jc w:val="right"/>
              <w:rPr>
                <w:rFonts w:ascii="Bookman Old Style" w:hAnsi="Bookman Old Style"/>
                <w:color w:val="000000" w:themeColor="text1"/>
                <w:lang w:val="en-IN" w:eastAsia="en-IN"/>
              </w:rPr>
            </w:pPr>
            <w:r w:rsidRPr="00F56AC9">
              <w:rPr>
                <w:rFonts w:ascii="Bookman Old Style" w:hAnsi="Bookman Old Style"/>
                <w:color w:val="000000" w:themeColor="text1"/>
                <w:lang w:val="en-IN" w:eastAsia="en-IN"/>
              </w:rPr>
              <w:t xml:space="preserve">  </w:t>
            </w:r>
            <w:r w:rsidR="001F0DC3" w:rsidRPr="00F56AC9">
              <w:rPr>
                <w:rFonts w:ascii="Bookman Old Style" w:hAnsi="Bookman Old Style"/>
                <w:color w:val="000000" w:themeColor="text1"/>
                <w:lang w:val="en-IN" w:eastAsia="en-IN"/>
              </w:rPr>
              <w:t>419.25</w:t>
            </w:r>
            <w:r w:rsidRPr="00F56AC9">
              <w:rPr>
                <w:rFonts w:ascii="Bookman Old Style" w:hAnsi="Bookman Old Style"/>
                <w:color w:val="000000" w:themeColor="text1"/>
                <w:lang w:val="en-IN" w:eastAsia="en-IN"/>
              </w:rPr>
              <w:t xml:space="preserve"> </w:t>
            </w:r>
          </w:p>
        </w:tc>
      </w:tr>
      <w:tr w:rsidR="00381ACE" w:rsidRPr="00F56AC9" w:rsidTr="00E139D2">
        <w:trPr>
          <w:trHeight w:val="154"/>
          <w:jc w:val="center"/>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381ACE" w:rsidRPr="00F56AC9" w:rsidRDefault="00381ACE" w:rsidP="008B0A50">
            <w:pPr>
              <w:pStyle w:val="NoSpacing"/>
              <w:ind w:right="67"/>
              <w:rPr>
                <w:rFonts w:ascii="Bookman Old Style" w:hAnsi="Bookman Old Style"/>
                <w:lang w:val="en-IN" w:eastAsia="en-IN"/>
              </w:rPr>
            </w:pPr>
            <w:r w:rsidRPr="00F56AC9">
              <w:rPr>
                <w:rFonts w:ascii="Bookman Old Style" w:hAnsi="Bookman Old Style"/>
                <w:lang w:val="en-IN" w:eastAsia="en-IN"/>
              </w:rPr>
              <w:t>Interest on Consumer Security Deposit</w:t>
            </w:r>
          </w:p>
        </w:tc>
        <w:tc>
          <w:tcPr>
            <w:tcW w:w="2126" w:type="dxa"/>
            <w:tcBorders>
              <w:top w:val="nil"/>
              <w:left w:val="nil"/>
              <w:bottom w:val="single" w:sz="4" w:space="0" w:color="auto"/>
              <w:right w:val="single" w:sz="4" w:space="0" w:color="auto"/>
            </w:tcBorders>
            <w:shd w:val="clear" w:color="auto" w:fill="auto"/>
            <w:vAlign w:val="bottom"/>
            <w:hideMark/>
          </w:tcPr>
          <w:p w:rsidR="00381ACE" w:rsidRPr="00F56AC9" w:rsidRDefault="00381ACE" w:rsidP="008B0A50">
            <w:pPr>
              <w:pStyle w:val="NoSpacing"/>
              <w:ind w:right="67"/>
              <w:jc w:val="right"/>
              <w:rPr>
                <w:rFonts w:ascii="Bookman Old Style" w:hAnsi="Bookman Old Style"/>
                <w:color w:val="000000" w:themeColor="text1"/>
                <w:lang w:val="en-IN" w:eastAsia="en-IN"/>
              </w:rPr>
            </w:pPr>
            <w:r w:rsidRPr="00F56AC9">
              <w:rPr>
                <w:rFonts w:ascii="Bookman Old Style" w:hAnsi="Bookman Old Style"/>
                <w:color w:val="000000" w:themeColor="text1"/>
                <w:lang w:val="en-IN" w:eastAsia="en-IN"/>
              </w:rPr>
              <w:t>276.63</w:t>
            </w:r>
          </w:p>
        </w:tc>
        <w:tc>
          <w:tcPr>
            <w:tcW w:w="1669" w:type="dxa"/>
            <w:tcBorders>
              <w:top w:val="nil"/>
              <w:left w:val="nil"/>
              <w:bottom w:val="single" w:sz="4" w:space="0" w:color="auto"/>
              <w:right w:val="single" w:sz="4" w:space="0" w:color="auto"/>
            </w:tcBorders>
            <w:shd w:val="clear" w:color="auto" w:fill="auto"/>
            <w:vAlign w:val="bottom"/>
            <w:hideMark/>
          </w:tcPr>
          <w:p w:rsidR="00381ACE" w:rsidRPr="00F56AC9" w:rsidRDefault="00381ACE" w:rsidP="008B0A50">
            <w:pPr>
              <w:pStyle w:val="NoSpacing"/>
              <w:ind w:right="67"/>
              <w:jc w:val="right"/>
              <w:rPr>
                <w:rFonts w:ascii="Bookman Old Style" w:hAnsi="Bookman Old Style"/>
                <w:color w:val="000000" w:themeColor="text1"/>
                <w:lang w:val="en-IN" w:eastAsia="en-IN"/>
              </w:rPr>
            </w:pPr>
            <w:r w:rsidRPr="00F56AC9">
              <w:rPr>
                <w:rFonts w:ascii="Bookman Old Style" w:hAnsi="Bookman Old Style"/>
                <w:color w:val="000000" w:themeColor="text1"/>
                <w:lang w:val="en-IN" w:eastAsia="en-IN"/>
              </w:rPr>
              <w:t>238.87</w:t>
            </w:r>
          </w:p>
        </w:tc>
        <w:tc>
          <w:tcPr>
            <w:tcW w:w="1875" w:type="dxa"/>
            <w:tcBorders>
              <w:top w:val="nil"/>
              <w:left w:val="nil"/>
              <w:bottom w:val="single" w:sz="4" w:space="0" w:color="auto"/>
              <w:right w:val="single" w:sz="4" w:space="0" w:color="auto"/>
            </w:tcBorders>
            <w:shd w:val="clear" w:color="auto" w:fill="auto"/>
            <w:noWrap/>
            <w:vAlign w:val="bottom"/>
            <w:hideMark/>
          </w:tcPr>
          <w:p w:rsidR="00381ACE" w:rsidRPr="00F56AC9" w:rsidRDefault="00381ACE" w:rsidP="008B0A50">
            <w:pPr>
              <w:pStyle w:val="NoSpacing"/>
              <w:ind w:right="67"/>
              <w:jc w:val="right"/>
              <w:rPr>
                <w:rFonts w:ascii="Bookman Old Style" w:hAnsi="Bookman Old Style"/>
                <w:color w:val="000000" w:themeColor="text1"/>
                <w:lang w:val="en-IN" w:eastAsia="en-IN"/>
              </w:rPr>
            </w:pPr>
            <w:r w:rsidRPr="00F56AC9">
              <w:rPr>
                <w:rFonts w:ascii="Bookman Old Style" w:hAnsi="Bookman Old Style"/>
                <w:color w:val="000000" w:themeColor="text1"/>
                <w:lang w:val="en-IN" w:eastAsia="en-IN"/>
              </w:rPr>
              <w:t>238.87</w:t>
            </w:r>
          </w:p>
        </w:tc>
      </w:tr>
      <w:tr w:rsidR="00381ACE" w:rsidRPr="00F56AC9" w:rsidTr="00E139D2">
        <w:trPr>
          <w:trHeight w:val="154"/>
          <w:jc w:val="center"/>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381ACE" w:rsidRPr="00F56AC9" w:rsidRDefault="00381ACE" w:rsidP="008B0A50">
            <w:pPr>
              <w:pStyle w:val="NoSpacing"/>
              <w:ind w:right="67"/>
              <w:rPr>
                <w:rFonts w:ascii="Bookman Old Style" w:hAnsi="Bookman Old Style"/>
                <w:lang w:val="en-IN" w:eastAsia="en-IN"/>
              </w:rPr>
            </w:pPr>
            <w:r w:rsidRPr="00F56AC9">
              <w:rPr>
                <w:rFonts w:ascii="Bookman Old Style" w:hAnsi="Bookman Old Style"/>
                <w:lang w:val="en-IN" w:eastAsia="en-IN"/>
              </w:rPr>
              <w:t>Other Interest &amp; Finance Charges</w:t>
            </w:r>
          </w:p>
        </w:tc>
        <w:tc>
          <w:tcPr>
            <w:tcW w:w="2126" w:type="dxa"/>
            <w:tcBorders>
              <w:top w:val="nil"/>
              <w:left w:val="nil"/>
              <w:bottom w:val="single" w:sz="4" w:space="0" w:color="auto"/>
              <w:right w:val="single" w:sz="4" w:space="0" w:color="auto"/>
            </w:tcBorders>
            <w:shd w:val="clear" w:color="auto" w:fill="auto"/>
            <w:vAlign w:val="bottom"/>
            <w:hideMark/>
          </w:tcPr>
          <w:p w:rsidR="00381ACE" w:rsidRPr="00F56AC9" w:rsidRDefault="00381ACE" w:rsidP="008B0A50">
            <w:pPr>
              <w:pStyle w:val="NoSpacing"/>
              <w:ind w:right="67"/>
              <w:jc w:val="right"/>
              <w:rPr>
                <w:rFonts w:ascii="Bookman Old Style" w:hAnsi="Bookman Old Style"/>
                <w:color w:val="000000" w:themeColor="text1"/>
                <w:lang w:val="en-IN" w:eastAsia="en-IN"/>
              </w:rPr>
            </w:pPr>
            <w:r w:rsidRPr="00F56AC9">
              <w:rPr>
                <w:rFonts w:ascii="Bookman Old Style" w:hAnsi="Bookman Old Style"/>
                <w:color w:val="000000" w:themeColor="text1"/>
                <w:lang w:val="en-IN" w:eastAsia="en-IN"/>
              </w:rPr>
              <w:t>4.00</w:t>
            </w:r>
          </w:p>
        </w:tc>
        <w:tc>
          <w:tcPr>
            <w:tcW w:w="1669" w:type="dxa"/>
            <w:tcBorders>
              <w:top w:val="nil"/>
              <w:left w:val="nil"/>
              <w:bottom w:val="single" w:sz="4" w:space="0" w:color="auto"/>
              <w:right w:val="single" w:sz="4" w:space="0" w:color="auto"/>
            </w:tcBorders>
            <w:shd w:val="clear" w:color="auto" w:fill="auto"/>
            <w:vAlign w:val="bottom"/>
            <w:hideMark/>
          </w:tcPr>
          <w:p w:rsidR="00381ACE" w:rsidRPr="00F56AC9" w:rsidRDefault="00381ACE" w:rsidP="008B0A50">
            <w:pPr>
              <w:pStyle w:val="NoSpacing"/>
              <w:ind w:right="67"/>
              <w:jc w:val="right"/>
              <w:rPr>
                <w:rFonts w:ascii="Bookman Old Style" w:hAnsi="Bookman Old Style"/>
                <w:color w:val="000000" w:themeColor="text1"/>
                <w:lang w:val="en-IN" w:eastAsia="en-IN"/>
              </w:rPr>
            </w:pPr>
            <w:r w:rsidRPr="00F56AC9">
              <w:rPr>
                <w:rFonts w:ascii="Bookman Old Style" w:hAnsi="Bookman Old Style"/>
                <w:color w:val="000000" w:themeColor="text1"/>
                <w:lang w:val="en-IN" w:eastAsia="en-IN"/>
              </w:rPr>
              <w:t>22.29</w:t>
            </w:r>
          </w:p>
        </w:tc>
        <w:tc>
          <w:tcPr>
            <w:tcW w:w="1875" w:type="dxa"/>
            <w:tcBorders>
              <w:top w:val="nil"/>
              <w:left w:val="nil"/>
              <w:bottom w:val="single" w:sz="4" w:space="0" w:color="auto"/>
              <w:right w:val="single" w:sz="4" w:space="0" w:color="auto"/>
            </w:tcBorders>
            <w:shd w:val="clear" w:color="auto" w:fill="auto"/>
            <w:noWrap/>
            <w:vAlign w:val="bottom"/>
            <w:hideMark/>
          </w:tcPr>
          <w:p w:rsidR="00381ACE" w:rsidRPr="00F56AC9" w:rsidRDefault="00381ACE" w:rsidP="008B0A50">
            <w:pPr>
              <w:pStyle w:val="NoSpacing"/>
              <w:ind w:right="67"/>
              <w:jc w:val="right"/>
              <w:rPr>
                <w:rFonts w:ascii="Bookman Old Style" w:hAnsi="Bookman Old Style"/>
                <w:color w:val="000000" w:themeColor="text1"/>
                <w:lang w:val="en-IN" w:eastAsia="en-IN"/>
              </w:rPr>
            </w:pPr>
            <w:r w:rsidRPr="00F56AC9">
              <w:rPr>
                <w:rFonts w:ascii="Bookman Old Style" w:hAnsi="Bookman Old Style"/>
                <w:color w:val="000000" w:themeColor="text1"/>
                <w:lang w:val="en-IN" w:eastAsia="en-IN"/>
              </w:rPr>
              <w:t>22.29</w:t>
            </w:r>
          </w:p>
        </w:tc>
      </w:tr>
      <w:tr w:rsidR="00381ACE" w:rsidRPr="00F56AC9" w:rsidTr="00E139D2">
        <w:trPr>
          <w:trHeight w:val="250"/>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381ACE" w:rsidRPr="00F56AC9" w:rsidRDefault="00381ACE" w:rsidP="008B0A50">
            <w:pPr>
              <w:pStyle w:val="NoSpacing"/>
              <w:ind w:right="67"/>
              <w:rPr>
                <w:rFonts w:ascii="Bookman Old Style" w:hAnsi="Bookman Old Style"/>
                <w:lang w:val="en-IN" w:eastAsia="en-IN"/>
              </w:rPr>
            </w:pPr>
            <w:r w:rsidRPr="00F56AC9">
              <w:rPr>
                <w:rFonts w:ascii="Bookman Old Style" w:hAnsi="Bookman Old Style"/>
                <w:lang w:val="en-IN" w:eastAsia="en-IN"/>
              </w:rPr>
              <w:t>Less:  interest &amp; other expenses Capitalized</w:t>
            </w:r>
          </w:p>
        </w:tc>
        <w:tc>
          <w:tcPr>
            <w:tcW w:w="2126" w:type="dxa"/>
            <w:tcBorders>
              <w:top w:val="nil"/>
              <w:left w:val="nil"/>
              <w:bottom w:val="single" w:sz="4" w:space="0" w:color="auto"/>
              <w:right w:val="single" w:sz="4" w:space="0" w:color="auto"/>
            </w:tcBorders>
            <w:shd w:val="clear" w:color="auto" w:fill="auto"/>
            <w:vAlign w:val="bottom"/>
            <w:hideMark/>
          </w:tcPr>
          <w:p w:rsidR="00381ACE" w:rsidRPr="00F56AC9" w:rsidRDefault="00381ACE" w:rsidP="008B0A50">
            <w:pPr>
              <w:pStyle w:val="NoSpacing"/>
              <w:ind w:right="67"/>
              <w:jc w:val="right"/>
              <w:rPr>
                <w:rFonts w:ascii="Bookman Old Style" w:hAnsi="Bookman Old Style"/>
                <w:color w:val="000000" w:themeColor="text1"/>
                <w:lang w:val="en-IN" w:eastAsia="en-IN"/>
              </w:rPr>
            </w:pPr>
            <w:r w:rsidRPr="00F56AC9">
              <w:rPr>
                <w:rFonts w:ascii="Bookman Old Style" w:hAnsi="Bookman Old Style"/>
                <w:color w:val="000000" w:themeColor="text1"/>
                <w:lang w:val="en-IN" w:eastAsia="en-IN"/>
              </w:rPr>
              <w:t>99.75</w:t>
            </w:r>
          </w:p>
        </w:tc>
        <w:tc>
          <w:tcPr>
            <w:tcW w:w="1669" w:type="dxa"/>
            <w:tcBorders>
              <w:top w:val="nil"/>
              <w:left w:val="nil"/>
              <w:bottom w:val="single" w:sz="4" w:space="0" w:color="auto"/>
              <w:right w:val="single" w:sz="4" w:space="0" w:color="auto"/>
            </w:tcBorders>
            <w:shd w:val="clear" w:color="auto" w:fill="auto"/>
            <w:vAlign w:val="bottom"/>
            <w:hideMark/>
          </w:tcPr>
          <w:p w:rsidR="00381ACE" w:rsidRPr="00F56AC9" w:rsidRDefault="00381ACE" w:rsidP="008B0A50">
            <w:pPr>
              <w:pStyle w:val="NoSpacing"/>
              <w:ind w:right="67"/>
              <w:jc w:val="right"/>
              <w:rPr>
                <w:rFonts w:ascii="Bookman Old Style" w:hAnsi="Bookman Old Style"/>
                <w:color w:val="000000" w:themeColor="text1"/>
                <w:lang w:val="en-IN" w:eastAsia="en-IN"/>
              </w:rPr>
            </w:pPr>
            <w:r w:rsidRPr="00F56AC9">
              <w:rPr>
                <w:rFonts w:ascii="Bookman Old Style" w:hAnsi="Bookman Old Style"/>
                <w:color w:val="000000" w:themeColor="text1"/>
                <w:lang w:val="en-IN" w:eastAsia="en-IN"/>
              </w:rPr>
              <w:t>206.48</w:t>
            </w:r>
          </w:p>
        </w:tc>
        <w:tc>
          <w:tcPr>
            <w:tcW w:w="1875" w:type="dxa"/>
            <w:tcBorders>
              <w:top w:val="nil"/>
              <w:left w:val="nil"/>
              <w:bottom w:val="single" w:sz="4" w:space="0" w:color="auto"/>
              <w:right w:val="single" w:sz="4" w:space="0" w:color="auto"/>
            </w:tcBorders>
            <w:shd w:val="clear" w:color="auto" w:fill="auto"/>
            <w:noWrap/>
            <w:vAlign w:val="bottom"/>
            <w:hideMark/>
          </w:tcPr>
          <w:p w:rsidR="00381ACE" w:rsidRPr="00F56AC9" w:rsidRDefault="00381ACE" w:rsidP="008B0A50">
            <w:pPr>
              <w:pStyle w:val="NoSpacing"/>
              <w:ind w:right="67"/>
              <w:jc w:val="right"/>
              <w:rPr>
                <w:rFonts w:ascii="Bookman Old Style" w:hAnsi="Bookman Old Style"/>
                <w:color w:val="000000" w:themeColor="text1"/>
                <w:lang w:val="en-IN" w:eastAsia="en-IN"/>
              </w:rPr>
            </w:pPr>
            <w:r w:rsidRPr="00F56AC9">
              <w:rPr>
                <w:rFonts w:ascii="Bookman Old Style" w:hAnsi="Bookman Old Style"/>
                <w:color w:val="000000" w:themeColor="text1"/>
                <w:lang w:val="en-IN" w:eastAsia="en-IN"/>
              </w:rPr>
              <w:t>212.39</w:t>
            </w:r>
          </w:p>
        </w:tc>
      </w:tr>
      <w:tr w:rsidR="00381ACE" w:rsidRPr="00F56AC9" w:rsidTr="00E139D2">
        <w:trPr>
          <w:trHeight w:val="154"/>
          <w:jc w:val="center"/>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381ACE" w:rsidRPr="00F56AC9" w:rsidRDefault="00381ACE" w:rsidP="008B0A50">
            <w:pPr>
              <w:pStyle w:val="NoSpacing"/>
              <w:ind w:right="67"/>
              <w:rPr>
                <w:rFonts w:ascii="Bookman Old Style" w:hAnsi="Bookman Old Style"/>
                <w:b/>
                <w:lang w:val="en-IN" w:eastAsia="en-IN"/>
              </w:rPr>
            </w:pPr>
            <w:r w:rsidRPr="00F56AC9">
              <w:rPr>
                <w:rFonts w:ascii="Bookman Old Style" w:hAnsi="Bookman Old Style"/>
                <w:b/>
                <w:lang w:val="en-IN" w:eastAsia="en-IN"/>
              </w:rPr>
              <w:t>Total</w:t>
            </w:r>
          </w:p>
        </w:tc>
        <w:tc>
          <w:tcPr>
            <w:tcW w:w="2126" w:type="dxa"/>
            <w:tcBorders>
              <w:top w:val="nil"/>
              <w:left w:val="nil"/>
              <w:bottom w:val="single" w:sz="4" w:space="0" w:color="auto"/>
              <w:right w:val="single" w:sz="4" w:space="0" w:color="auto"/>
            </w:tcBorders>
            <w:shd w:val="clear" w:color="auto" w:fill="auto"/>
            <w:vAlign w:val="bottom"/>
            <w:hideMark/>
          </w:tcPr>
          <w:p w:rsidR="00381ACE" w:rsidRPr="00F56AC9" w:rsidRDefault="00381ACE" w:rsidP="008B0A50">
            <w:pPr>
              <w:pStyle w:val="NoSpacing"/>
              <w:ind w:right="67"/>
              <w:jc w:val="right"/>
              <w:rPr>
                <w:rFonts w:ascii="Bookman Old Style" w:hAnsi="Bookman Old Style"/>
                <w:b/>
                <w:lang w:val="en-IN" w:eastAsia="en-IN"/>
              </w:rPr>
            </w:pPr>
            <w:r w:rsidRPr="00F56AC9">
              <w:rPr>
                <w:rFonts w:ascii="Bookman Old Style" w:hAnsi="Bookman Old Style"/>
                <w:b/>
                <w:lang w:val="en-IN" w:eastAsia="en-IN"/>
              </w:rPr>
              <w:t>1016.32</w:t>
            </w:r>
          </w:p>
        </w:tc>
        <w:tc>
          <w:tcPr>
            <w:tcW w:w="1669" w:type="dxa"/>
            <w:tcBorders>
              <w:top w:val="nil"/>
              <w:left w:val="nil"/>
              <w:bottom w:val="single" w:sz="4" w:space="0" w:color="auto"/>
              <w:right w:val="single" w:sz="4" w:space="0" w:color="auto"/>
            </w:tcBorders>
            <w:shd w:val="clear" w:color="auto" w:fill="auto"/>
            <w:vAlign w:val="bottom"/>
            <w:hideMark/>
          </w:tcPr>
          <w:p w:rsidR="00381ACE" w:rsidRPr="00F56AC9" w:rsidRDefault="00381ACE" w:rsidP="008B0A50">
            <w:pPr>
              <w:pStyle w:val="NoSpacing"/>
              <w:ind w:right="67"/>
              <w:jc w:val="right"/>
              <w:rPr>
                <w:rFonts w:ascii="Bookman Old Style" w:hAnsi="Bookman Old Style"/>
                <w:b/>
                <w:lang w:val="en-IN" w:eastAsia="en-IN"/>
              </w:rPr>
            </w:pPr>
            <w:r w:rsidRPr="00F56AC9">
              <w:rPr>
                <w:rFonts w:ascii="Bookman Old Style" w:hAnsi="Bookman Old Style"/>
                <w:b/>
                <w:lang w:val="en-IN" w:eastAsia="en-IN"/>
              </w:rPr>
              <w:t>924.21</w:t>
            </w:r>
          </w:p>
        </w:tc>
        <w:tc>
          <w:tcPr>
            <w:tcW w:w="1875" w:type="dxa"/>
            <w:tcBorders>
              <w:top w:val="nil"/>
              <w:left w:val="nil"/>
              <w:bottom w:val="single" w:sz="4" w:space="0" w:color="auto"/>
              <w:right w:val="single" w:sz="4" w:space="0" w:color="auto"/>
            </w:tcBorders>
            <w:shd w:val="clear" w:color="auto" w:fill="auto"/>
            <w:vAlign w:val="bottom"/>
            <w:hideMark/>
          </w:tcPr>
          <w:p w:rsidR="00381ACE" w:rsidRPr="00F56AC9" w:rsidRDefault="001F0DC3" w:rsidP="008B0A50">
            <w:pPr>
              <w:pStyle w:val="NoSpacing"/>
              <w:ind w:right="67"/>
              <w:jc w:val="right"/>
              <w:rPr>
                <w:rFonts w:ascii="Bookman Old Style" w:hAnsi="Bookman Old Style"/>
                <w:b/>
                <w:lang w:val="en-IN" w:eastAsia="en-IN"/>
              </w:rPr>
            </w:pPr>
            <w:r w:rsidRPr="00F56AC9">
              <w:rPr>
                <w:rFonts w:ascii="Bookman Old Style" w:hAnsi="Bookman Old Style"/>
                <w:b/>
                <w:lang w:val="en-IN" w:eastAsia="en-IN"/>
              </w:rPr>
              <w:t>957.30</w:t>
            </w:r>
          </w:p>
        </w:tc>
      </w:tr>
    </w:tbl>
    <w:p w:rsidR="00F56AC9" w:rsidRDefault="00F56AC9" w:rsidP="00717D3E">
      <w:pPr>
        <w:pStyle w:val="BodyText"/>
        <w:spacing w:line="360" w:lineRule="auto"/>
        <w:ind w:right="67"/>
        <w:rPr>
          <w:rFonts w:ascii="Bookman Old Style" w:eastAsiaTheme="minorEastAsia" w:hAnsi="Bookman Old Style"/>
        </w:rPr>
      </w:pPr>
    </w:p>
    <w:p w:rsidR="00381ACE" w:rsidRPr="00AB44CE" w:rsidRDefault="00381ACE" w:rsidP="00717D3E">
      <w:pPr>
        <w:pStyle w:val="BodyText"/>
        <w:spacing w:line="360" w:lineRule="auto"/>
        <w:ind w:right="67"/>
        <w:rPr>
          <w:rFonts w:ascii="Bookman Old Style" w:eastAsiaTheme="minorEastAsia" w:hAnsi="Bookman Old Style"/>
        </w:rPr>
      </w:pPr>
      <w:r w:rsidRPr="00AB44CE">
        <w:rPr>
          <w:rFonts w:ascii="Bookman Old Style" w:eastAsiaTheme="minorEastAsia" w:hAnsi="Bookman Old Style"/>
        </w:rPr>
        <w:t>The Commission is requested to approve the interest and finance charges of Rs.</w:t>
      </w:r>
      <w:r w:rsidR="001F0DC3">
        <w:rPr>
          <w:rFonts w:ascii="Bookman Old Style" w:eastAsiaTheme="minorEastAsia" w:hAnsi="Bookman Old Style"/>
        </w:rPr>
        <w:t>957.30</w:t>
      </w:r>
      <w:r>
        <w:rPr>
          <w:rFonts w:ascii="Bookman Old Style" w:eastAsiaTheme="minorEastAsia" w:hAnsi="Bookman Old Style"/>
        </w:rPr>
        <w:t xml:space="preserve"> C</w:t>
      </w:r>
      <w:r w:rsidRPr="00AB44CE">
        <w:rPr>
          <w:rFonts w:ascii="Bookman Old Style" w:eastAsiaTheme="minorEastAsia" w:hAnsi="Bookman Old Style"/>
        </w:rPr>
        <w:t>rs</w:t>
      </w:r>
      <w:r w:rsidR="006537C6">
        <w:rPr>
          <w:rFonts w:ascii="Bookman Old Style" w:eastAsiaTheme="minorEastAsia" w:hAnsi="Bookman Old Style"/>
        </w:rPr>
        <w:t>.</w:t>
      </w:r>
      <w:r w:rsidRPr="00AB44CE">
        <w:rPr>
          <w:rFonts w:ascii="Bookman Old Style" w:eastAsiaTheme="minorEastAsia" w:hAnsi="Bookman Old Style"/>
        </w:rPr>
        <w:t xml:space="preserve"> for FY-</w:t>
      </w:r>
      <w:r>
        <w:rPr>
          <w:rFonts w:ascii="Bookman Old Style" w:eastAsiaTheme="minorEastAsia" w:hAnsi="Bookman Old Style"/>
        </w:rPr>
        <w:t>20</w:t>
      </w:r>
      <w:r w:rsidRPr="00AB44CE">
        <w:rPr>
          <w:rFonts w:ascii="Bookman Old Style" w:eastAsiaTheme="minorEastAsia" w:hAnsi="Bookman Old Style"/>
        </w:rPr>
        <w:t>.</w:t>
      </w:r>
    </w:p>
    <w:p w:rsidR="00381ACE" w:rsidRPr="005579AD" w:rsidRDefault="00381ACE" w:rsidP="00717D3E">
      <w:pPr>
        <w:spacing w:line="360" w:lineRule="auto"/>
        <w:ind w:right="67"/>
        <w:jc w:val="both"/>
        <w:rPr>
          <w:rFonts w:ascii="Bookman Old Style" w:eastAsiaTheme="minorEastAsia" w:hAnsi="Bookman Old Style" w:cs="Arial"/>
          <w:b/>
          <w:sz w:val="28"/>
          <w:szCs w:val="24"/>
        </w:rPr>
      </w:pPr>
      <w:r w:rsidRPr="005579AD">
        <w:rPr>
          <w:rFonts w:ascii="Bookman Old Style" w:eastAsiaTheme="minorEastAsia" w:hAnsi="Bookman Old Style" w:cs="Arial"/>
          <w:b/>
          <w:sz w:val="28"/>
          <w:szCs w:val="24"/>
        </w:rPr>
        <w:lastRenderedPageBreak/>
        <w:t>Other Debits:</w:t>
      </w:r>
    </w:p>
    <w:p w:rsidR="00381ACE" w:rsidRDefault="00381ACE" w:rsidP="004F1177">
      <w:pPr>
        <w:pStyle w:val="BodyText"/>
        <w:spacing w:line="360" w:lineRule="auto"/>
        <w:ind w:right="67"/>
        <w:jc w:val="both"/>
        <w:rPr>
          <w:rFonts w:ascii="Bookman Old Style" w:eastAsiaTheme="minorEastAsia" w:hAnsi="Bookman Old Style"/>
        </w:rPr>
      </w:pPr>
      <w:r w:rsidRPr="005579AD">
        <w:rPr>
          <w:rFonts w:ascii="Bookman Old Style" w:eastAsiaTheme="minorEastAsia" w:hAnsi="Bookman Old Style"/>
        </w:rPr>
        <w:t>Commission is approving the other debits based on actuals.  As per accounts other debits are as under:</w:t>
      </w:r>
    </w:p>
    <w:p w:rsidR="004D2832" w:rsidRPr="004D2832" w:rsidRDefault="004D2832" w:rsidP="004D2832">
      <w:pPr>
        <w:spacing w:line="360" w:lineRule="auto"/>
        <w:ind w:right="67"/>
        <w:jc w:val="center"/>
        <w:rPr>
          <w:rFonts w:ascii="Bookman Old Style" w:eastAsiaTheme="minorEastAsia" w:hAnsi="Bookman Old Style" w:cs="Arial"/>
        </w:rPr>
      </w:pPr>
      <w:r>
        <w:rPr>
          <w:rFonts w:ascii="Bookman Old Style" w:hAnsi="Bookman Old Style" w:cs="Calibri"/>
          <w:b/>
          <w:bCs/>
          <w:sz w:val="20"/>
          <w:lang w:eastAsia="en-IN"/>
        </w:rPr>
        <w:t xml:space="preserve">                                                </w:t>
      </w:r>
      <w:r w:rsidRPr="006537C6">
        <w:rPr>
          <w:rFonts w:ascii="Bookman Old Style" w:hAnsi="Bookman Old Style" w:cs="Calibri"/>
          <w:b/>
          <w:bCs/>
          <w:sz w:val="18"/>
          <w:lang w:eastAsia="en-IN"/>
        </w:rPr>
        <w:t>Table 3.</w:t>
      </w:r>
      <w:r w:rsidR="001F0DC3">
        <w:rPr>
          <w:rFonts w:ascii="Bookman Old Style" w:hAnsi="Bookman Old Style" w:cs="Calibri"/>
          <w:b/>
          <w:bCs/>
          <w:sz w:val="18"/>
          <w:szCs w:val="20"/>
          <w:lang w:eastAsia="en-IN"/>
        </w:rPr>
        <w:t>39</w:t>
      </w:r>
      <w:r w:rsidRPr="006537C6">
        <w:rPr>
          <w:rFonts w:ascii="Bookman Old Style" w:hAnsi="Bookman Old Style" w:cs="Calibri"/>
          <w:b/>
          <w:bCs/>
          <w:sz w:val="18"/>
          <w:szCs w:val="20"/>
          <w:lang w:eastAsia="en-IN"/>
        </w:rPr>
        <w:t xml:space="preserve">    </w:t>
      </w:r>
      <w:r w:rsidRPr="006537C6">
        <w:rPr>
          <w:rFonts w:ascii="Bookman Old Style" w:eastAsiaTheme="minorEastAsia" w:hAnsi="Bookman Old Style" w:cs="Arial"/>
          <w:b/>
          <w:sz w:val="18"/>
          <w:szCs w:val="20"/>
        </w:rPr>
        <w:t xml:space="preserve">                          Amount in Crs.</w:t>
      </w:r>
    </w:p>
    <w:tbl>
      <w:tblPr>
        <w:tblW w:w="7587" w:type="dxa"/>
        <w:jc w:val="center"/>
        <w:tblLook w:val="04A0" w:firstRow="1" w:lastRow="0" w:firstColumn="1" w:lastColumn="0" w:noHBand="0" w:noVBand="1"/>
      </w:tblPr>
      <w:tblGrid>
        <w:gridCol w:w="6521"/>
        <w:gridCol w:w="1133"/>
      </w:tblGrid>
      <w:tr w:rsidR="00381ACE" w:rsidRPr="00016075" w:rsidTr="004F1177">
        <w:trPr>
          <w:trHeight w:val="229"/>
          <w:jc w:val="center"/>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ACE" w:rsidRPr="00016075" w:rsidRDefault="00381ACE" w:rsidP="00980959">
            <w:pPr>
              <w:spacing w:after="0" w:line="240" w:lineRule="auto"/>
              <w:ind w:right="67"/>
              <w:rPr>
                <w:rFonts w:ascii="Bookman Old Style" w:hAnsi="Bookman Old Style"/>
                <w:b/>
                <w:bCs/>
                <w:lang w:eastAsia="en-IN"/>
              </w:rPr>
            </w:pPr>
            <w:r w:rsidRPr="00016075">
              <w:rPr>
                <w:rFonts w:ascii="Bookman Old Style" w:hAnsi="Bookman Old Style"/>
                <w:b/>
                <w:bCs/>
                <w:lang w:eastAsia="en-IN"/>
              </w:rPr>
              <w:t>Other Debits:</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381ACE" w:rsidRPr="00016075" w:rsidRDefault="00381ACE" w:rsidP="00980959">
            <w:pPr>
              <w:spacing w:after="0" w:line="240" w:lineRule="auto"/>
              <w:ind w:right="67"/>
              <w:rPr>
                <w:rFonts w:ascii="Bookman Old Style" w:hAnsi="Bookman Old Style"/>
                <w:b/>
                <w:lang w:eastAsia="en-IN"/>
              </w:rPr>
            </w:pPr>
            <w:r w:rsidRPr="00016075">
              <w:rPr>
                <w:rFonts w:ascii="Bookman Old Style" w:hAnsi="Bookman Old Style"/>
                <w:b/>
                <w:lang w:eastAsia="en-IN"/>
              </w:rPr>
              <w:t>Actuals</w:t>
            </w:r>
          </w:p>
        </w:tc>
      </w:tr>
      <w:tr w:rsidR="00381ACE" w:rsidRPr="00016075" w:rsidTr="004F1177">
        <w:trPr>
          <w:trHeight w:val="229"/>
          <w:jc w:val="center"/>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381ACE" w:rsidRPr="00016075" w:rsidRDefault="00381ACE" w:rsidP="00980959">
            <w:pPr>
              <w:spacing w:after="0" w:line="240" w:lineRule="auto"/>
              <w:ind w:right="67"/>
              <w:rPr>
                <w:rFonts w:ascii="Bookman Old Style" w:hAnsi="Bookman Old Style" w:cs="Calibri"/>
                <w:lang w:eastAsia="en-IN"/>
              </w:rPr>
            </w:pPr>
            <w:r w:rsidRPr="00016075">
              <w:rPr>
                <w:rFonts w:ascii="Bookman Old Style" w:hAnsi="Bookman Old Style" w:cs="Calibri"/>
                <w:lang w:eastAsia="en-IN"/>
              </w:rPr>
              <w:t>Small &amp; Low value items Written off</w:t>
            </w:r>
          </w:p>
        </w:tc>
        <w:tc>
          <w:tcPr>
            <w:tcW w:w="1066" w:type="dxa"/>
            <w:tcBorders>
              <w:top w:val="nil"/>
              <w:left w:val="nil"/>
              <w:bottom w:val="single" w:sz="4" w:space="0" w:color="auto"/>
              <w:right w:val="single" w:sz="4" w:space="0" w:color="auto"/>
            </w:tcBorders>
            <w:shd w:val="clear" w:color="auto" w:fill="auto"/>
            <w:noWrap/>
            <w:vAlign w:val="bottom"/>
            <w:hideMark/>
          </w:tcPr>
          <w:p w:rsidR="00381ACE" w:rsidRPr="00016075" w:rsidRDefault="00381ACE" w:rsidP="00980959">
            <w:pPr>
              <w:spacing w:after="0" w:line="240" w:lineRule="auto"/>
              <w:ind w:right="67"/>
              <w:jc w:val="right"/>
              <w:rPr>
                <w:rFonts w:ascii="Bookman Old Style" w:hAnsi="Bookman Old Style"/>
                <w:lang w:eastAsia="en-IN"/>
              </w:rPr>
            </w:pPr>
            <w:r w:rsidRPr="00016075">
              <w:rPr>
                <w:rFonts w:ascii="Bookman Old Style" w:hAnsi="Bookman Old Style"/>
                <w:lang w:eastAsia="en-IN"/>
              </w:rPr>
              <w:t>0.56</w:t>
            </w:r>
          </w:p>
        </w:tc>
      </w:tr>
      <w:tr w:rsidR="00381ACE" w:rsidRPr="00016075" w:rsidTr="004F1177">
        <w:trPr>
          <w:trHeight w:val="70"/>
          <w:jc w:val="center"/>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381ACE" w:rsidRPr="00016075" w:rsidRDefault="00381ACE" w:rsidP="00980959">
            <w:pPr>
              <w:spacing w:after="0" w:line="240" w:lineRule="auto"/>
              <w:ind w:right="67"/>
              <w:rPr>
                <w:rFonts w:ascii="Bookman Old Style" w:hAnsi="Bookman Old Style" w:cs="Calibri"/>
                <w:lang w:eastAsia="en-IN"/>
              </w:rPr>
            </w:pPr>
            <w:r w:rsidRPr="00016075">
              <w:rPr>
                <w:rFonts w:ascii="Bookman Old Style" w:hAnsi="Bookman Old Style" w:cs="Calibri"/>
                <w:lang w:eastAsia="en-IN"/>
              </w:rPr>
              <w:t>Asset decommissioning cost</w:t>
            </w:r>
          </w:p>
        </w:tc>
        <w:tc>
          <w:tcPr>
            <w:tcW w:w="1066" w:type="dxa"/>
            <w:tcBorders>
              <w:top w:val="nil"/>
              <w:left w:val="nil"/>
              <w:bottom w:val="single" w:sz="4" w:space="0" w:color="auto"/>
              <w:right w:val="single" w:sz="4" w:space="0" w:color="auto"/>
            </w:tcBorders>
            <w:shd w:val="clear" w:color="auto" w:fill="auto"/>
            <w:noWrap/>
            <w:vAlign w:val="bottom"/>
            <w:hideMark/>
          </w:tcPr>
          <w:p w:rsidR="00381ACE" w:rsidRPr="00016075" w:rsidRDefault="00381ACE" w:rsidP="00980959">
            <w:pPr>
              <w:spacing w:after="0" w:line="240" w:lineRule="auto"/>
              <w:ind w:right="67"/>
              <w:jc w:val="right"/>
              <w:rPr>
                <w:rFonts w:ascii="Bookman Old Style" w:hAnsi="Bookman Old Style"/>
                <w:lang w:eastAsia="en-IN"/>
              </w:rPr>
            </w:pPr>
            <w:r w:rsidRPr="00016075">
              <w:rPr>
                <w:rFonts w:ascii="Bookman Old Style" w:hAnsi="Bookman Old Style"/>
                <w:lang w:eastAsia="en-IN"/>
              </w:rPr>
              <w:t>1.01</w:t>
            </w:r>
          </w:p>
        </w:tc>
      </w:tr>
      <w:tr w:rsidR="00381ACE" w:rsidRPr="00016075" w:rsidTr="004F1177">
        <w:trPr>
          <w:trHeight w:val="141"/>
          <w:jc w:val="center"/>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381ACE" w:rsidRPr="00016075" w:rsidRDefault="00381ACE" w:rsidP="00980959">
            <w:pPr>
              <w:spacing w:after="0" w:line="240" w:lineRule="auto"/>
              <w:ind w:right="67"/>
              <w:rPr>
                <w:rFonts w:ascii="Bookman Old Style" w:hAnsi="Bookman Old Style" w:cs="Calibri"/>
                <w:lang w:eastAsia="en-IN"/>
              </w:rPr>
            </w:pPr>
            <w:r w:rsidRPr="00016075">
              <w:rPr>
                <w:rFonts w:ascii="Bookman Old Style" w:hAnsi="Bookman Old Style" w:cs="Calibri"/>
                <w:lang w:eastAsia="en-IN"/>
              </w:rPr>
              <w:t>Material cost variance</w:t>
            </w:r>
          </w:p>
        </w:tc>
        <w:tc>
          <w:tcPr>
            <w:tcW w:w="1066" w:type="dxa"/>
            <w:tcBorders>
              <w:top w:val="nil"/>
              <w:left w:val="nil"/>
              <w:bottom w:val="single" w:sz="4" w:space="0" w:color="auto"/>
              <w:right w:val="single" w:sz="4" w:space="0" w:color="auto"/>
            </w:tcBorders>
            <w:shd w:val="clear" w:color="auto" w:fill="auto"/>
            <w:noWrap/>
            <w:vAlign w:val="bottom"/>
            <w:hideMark/>
          </w:tcPr>
          <w:p w:rsidR="00381ACE" w:rsidRPr="00016075" w:rsidRDefault="00381ACE" w:rsidP="00980959">
            <w:pPr>
              <w:spacing w:after="0" w:line="240" w:lineRule="auto"/>
              <w:ind w:right="67"/>
              <w:jc w:val="right"/>
              <w:rPr>
                <w:rFonts w:ascii="Bookman Old Style" w:hAnsi="Bookman Old Style"/>
                <w:lang w:eastAsia="en-IN"/>
              </w:rPr>
            </w:pPr>
            <w:r w:rsidRPr="00016075">
              <w:rPr>
                <w:rFonts w:ascii="Bookman Old Style" w:hAnsi="Bookman Old Style"/>
                <w:lang w:eastAsia="en-IN"/>
              </w:rPr>
              <w:t>4.23</w:t>
            </w:r>
          </w:p>
        </w:tc>
      </w:tr>
      <w:tr w:rsidR="00381ACE" w:rsidRPr="00016075" w:rsidTr="004F1177">
        <w:trPr>
          <w:trHeight w:val="160"/>
          <w:jc w:val="center"/>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381ACE" w:rsidRPr="00016075" w:rsidRDefault="00381ACE" w:rsidP="00980959">
            <w:pPr>
              <w:spacing w:after="0" w:line="240" w:lineRule="auto"/>
              <w:ind w:right="67"/>
              <w:rPr>
                <w:rFonts w:ascii="Bookman Old Style" w:hAnsi="Bookman Old Style" w:cs="Calibri"/>
                <w:lang w:eastAsia="en-IN"/>
              </w:rPr>
            </w:pPr>
            <w:r w:rsidRPr="00016075">
              <w:rPr>
                <w:rFonts w:ascii="Bookman Old Style" w:hAnsi="Bookman Old Style" w:cs="Calibri"/>
                <w:lang w:eastAsia="en-IN"/>
              </w:rPr>
              <w:t>Miscellaneous losses and Write offs including provisions</w:t>
            </w:r>
          </w:p>
        </w:tc>
        <w:tc>
          <w:tcPr>
            <w:tcW w:w="1066" w:type="dxa"/>
            <w:tcBorders>
              <w:top w:val="nil"/>
              <w:left w:val="nil"/>
              <w:bottom w:val="single" w:sz="4" w:space="0" w:color="auto"/>
              <w:right w:val="single" w:sz="4" w:space="0" w:color="auto"/>
            </w:tcBorders>
            <w:shd w:val="clear" w:color="auto" w:fill="auto"/>
            <w:noWrap/>
            <w:vAlign w:val="bottom"/>
            <w:hideMark/>
          </w:tcPr>
          <w:p w:rsidR="00381ACE" w:rsidRPr="00016075" w:rsidRDefault="00381ACE" w:rsidP="00980959">
            <w:pPr>
              <w:spacing w:after="0" w:line="240" w:lineRule="auto"/>
              <w:ind w:right="67"/>
              <w:jc w:val="right"/>
              <w:rPr>
                <w:rFonts w:ascii="Bookman Old Style" w:hAnsi="Bookman Old Style"/>
                <w:lang w:eastAsia="en-IN"/>
              </w:rPr>
            </w:pPr>
            <w:r w:rsidRPr="00016075">
              <w:rPr>
                <w:rFonts w:ascii="Bookman Old Style" w:hAnsi="Bookman Old Style"/>
                <w:lang w:eastAsia="en-IN"/>
              </w:rPr>
              <w:t>-1.66</w:t>
            </w:r>
          </w:p>
        </w:tc>
      </w:tr>
      <w:tr w:rsidR="00381ACE" w:rsidRPr="00016075" w:rsidTr="004F1177">
        <w:trPr>
          <w:trHeight w:val="141"/>
          <w:jc w:val="center"/>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381ACE" w:rsidRPr="00016075" w:rsidRDefault="00381ACE" w:rsidP="00980959">
            <w:pPr>
              <w:spacing w:after="0" w:line="240" w:lineRule="auto"/>
              <w:ind w:right="67"/>
              <w:rPr>
                <w:rFonts w:ascii="Bookman Old Style" w:hAnsi="Bookman Old Style" w:cs="Calibri"/>
                <w:lang w:eastAsia="en-IN"/>
              </w:rPr>
            </w:pPr>
            <w:r w:rsidRPr="00016075">
              <w:rPr>
                <w:rFonts w:ascii="Bookman Old Style" w:hAnsi="Bookman Old Style" w:cs="Calibri"/>
                <w:lang w:eastAsia="en-IN"/>
              </w:rPr>
              <w:t>Bad Debts written off</w:t>
            </w:r>
          </w:p>
        </w:tc>
        <w:tc>
          <w:tcPr>
            <w:tcW w:w="1066" w:type="dxa"/>
            <w:tcBorders>
              <w:top w:val="nil"/>
              <w:left w:val="nil"/>
              <w:bottom w:val="single" w:sz="4" w:space="0" w:color="auto"/>
              <w:right w:val="single" w:sz="4" w:space="0" w:color="auto"/>
            </w:tcBorders>
            <w:shd w:val="clear" w:color="auto" w:fill="auto"/>
            <w:noWrap/>
            <w:vAlign w:val="bottom"/>
            <w:hideMark/>
          </w:tcPr>
          <w:p w:rsidR="00381ACE" w:rsidRPr="00016075" w:rsidRDefault="00381ACE" w:rsidP="00980959">
            <w:pPr>
              <w:spacing w:after="0" w:line="240" w:lineRule="auto"/>
              <w:ind w:right="67"/>
              <w:jc w:val="right"/>
              <w:rPr>
                <w:rFonts w:ascii="Bookman Old Style" w:hAnsi="Bookman Old Style"/>
                <w:lang w:eastAsia="en-IN"/>
              </w:rPr>
            </w:pPr>
            <w:r>
              <w:rPr>
                <w:rFonts w:ascii="Bookman Old Style" w:hAnsi="Bookman Old Style"/>
                <w:lang w:eastAsia="en-IN"/>
              </w:rPr>
              <w:t>0.00</w:t>
            </w:r>
          </w:p>
        </w:tc>
      </w:tr>
      <w:tr w:rsidR="00381ACE" w:rsidRPr="00016075" w:rsidTr="004F1177">
        <w:trPr>
          <w:trHeight w:val="236"/>
          <w:jc w:val="center"/>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381ACE" w:rsidRPr="00016075" w:rsidRDefault="00381ACE" w:rsidP="00980959">
            <w:pPr>
              <w:spacing w:after="0" w:line="240" w:lineRule="auto"/>
              <w:ind w:right="67"/>
              <w:rPr>
                <w:rFonts w:ascii="Bookman Old Style" w:hAnsi="Bookman Old Style" w:cs="Calibri"/>
                <w:lang w:eastAsia="en-IN"/>
              </w:rPr>
            </w:pPr>
            <w:r w:rsidRPr="00016075">
              <w:rPr>
                <w:rFonts w:ascii="Bookman Old Style" w:hAnsi="Bookman Old Style" w:cs="Calibri"/>
                <w:lang w:eastAsia="en-IN"/>
              </w:rPr>
              <w:t>Provision for Loss on obsolescence of stores, etc in stock</w:t>
            </w:r>
          </w:p>
        </w:tc>
        <w:tc>
          <w:tcPr>
            <w:tcW w:w="1066" w:type="dxa"/>
            <w:tcBorders>
              <w:top w:val="nil"/>
              <w:left w:val="nil"/>
              <w:bottom w:val="single" w:sz="4" w:space="0" w:color="auto"/>
              <w:right w:val="single" w:sz="4" w:space="0" w:color="auto"/>
            </w:tcBorders>
            <w:shd w:val="clear" w:color="auto" w:fill="auto"/>
            <w:noWrap/>
            <w:vAlign w:val="bottom"/>
            <w:hideMark/>
          </w:tcPr>
          <w:p w:rsidR="00381ACE" w:rsidRPr="00016075" w:rsidRDefault="00381ACE" w:rsidP="00980959">
            <w:pPr>
              <w:spacing w:after="0" w:line="240" w:lineRule="auto"/>
              <w:ind w:right="67"/>
              <w:jc w:val="right"/>
              <w:rPr>
                <w:rFonts w:ascii="Bookman Old Style" w:hAnsi="Bookman Old Style"/>
                <w:lang w:eastAsia="en-IN"/>
              </w:rPr>
            </w:pPr>
            <w:r w:rsidRPr="00016075">
              <w:rPr>
                <w:rFonts w:ascii="Bookman Old Style" w:hAnsi="Bookman Old Style"/>
                <w:lang w:eastAsia="en-IN"/>
              </w:rPr>
              <w:t>0.05</w:t>
            </w:r>
          </w:p>
        </w:tc>
      </w:tr>
      <w:tr w:rsidR="00381ACE" w:rsidRPr="00016075" w:rsidTr="004F1177">
        <w:trPr>
          <w:trHeight w:val="141"/>
          <w:jc w:val="center"/>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381ACE" w:rsidRPr="00016075" w:rsidRDefault="00381ACE" w:rsidP="00980959">
            <w:pPr>
              <w:spacing w:after="0" w:line="240" w:lineRule="auto"/>
              <w:ind w:right="67"/>
              <w:rPr>
                <w:rFonts w:ascii="Bookman Old Style" w:hAnsi="Bookman Old Style"/>
                <w:lang w:eastAsia="en-IN"/>
              </w:rPr>
            </w:pPr>
            <w:r w:rsidRPr="00016075">
              <w:rPr>
                <w:rFonts w:ascii="Bookman Old Style" w:hAnsi="Bookman Old Style"/>
                <w:lang w:eastAsia="en-IN"/>
              </w:rPr>
              <w:t>Provision against receivables</w:t>
            </w:r>
          </w:p>
        </w:tc>
        <w:tc>
          <w:tcPr>
            <w:tcW w:w="1066" w:type="dxa"/>
            <w:tcBorders>
              <w:top w:val="nil"/>
              <w:left w:val="nil"/>
              <w:bottom w:val="single" w:sz="4" w:space="0" w:color="auto"/>
              <w:right w:val="single" w:sz="4" w:space="0" w:color="auto"/>
            </w:tcBorders>
            <w:shd w:val="clear" w:color="auto" w:fill="auto"/>
            <w:noWrap/>
            <w:vAlign w:val="bottom"/>
            <w:hideMark/>
          </w:tcPr>
          <w:p w:rsidR="00381ACE" w:rsidRPr="00016075" w:rsidRDefault="00381ACE" w:rsidP="00980959">
            <w:pPr>
              <w:spacing w:after="0" w:line="240" w:lineRule="auto"/>
              <w:ind w:right="67"/>
              <w:jc w:val="right"/>
              <w:rPr>
                <w:rFonts w:ascii="Bookman Old Style" w:hAnsi="Bookman Old Style"/>
                <w:lang w:eastAsia="en-IN"/>
              </w:rPr>
            </w:pPr>
            <w:r w:rsidRPr="00016075">
              <w:rPr>
                <w:rFonts w:ascii="Bookman Old Style" w:hAnsi="Bookman Old Style"/>
                <w:lang w:eastAsia="en-IN"/>
              </w:rPr>
              <w:t>8.03</w:t>
            </w:r>
          </w:p>
        </w:tc>
      </w:tr>
      <w:tr w:rsidR="00381ACE" w:rsidRPr="00016075" w:rsidTr="004F1177">
        <w:trPr>
          <w:trHeight w:val="141"/>
          <w:jc w:val="center"/>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381ACE" w:rsidRPr="00016075" w:rsidRDefault="00381ACE" w:rsidP="00980959">
            <w:pPr>
              <w:spacing w:after="0" w:line="240" w:lineRule="auto"/>
              <w:ind w:right="67"/>
              <w:rPr>
                <w:rFonts w:ascii="Bookman Old Style" w:hAnsi="Bookman Old Style"/>
                <w:b/>
                <w:bCs/>
                <w:lang w:eastAsia="en-IN"/>
              </w:rPr>
            </w:pPr>
            <w:r w:rsidRPr="00016075">
              <w:rPr>
                <w:rFonts w:ascii="Bookman Old Style" w:hAnsi="Bookman Old Style"/>
                <w:b/>
                <w:bCs/>
                <w:lang w:eastAsia="en-IN"/>
              </w:rPr>
              <w:t>Total</w:t>
            </w:r>
          </w:p>
        </w:tc>
        <w:tc>
          <w:tcPr>
            <w:tcW w:w="1066" w:type="dxa"/>
            <w:tcBorders>
              <w:top w:val="nil"/>
              <w:left w:val="nil"/>
              <w:bottom w:val="single" w:sz="4" w:space="0" w:color="auto"/>
              <w:right w:val="single" w:sz="4" w:space="0" w:color="auto"/>
            </w:tcBorders>
            <w:shd w:val="clear" w:color="auto" w:fill="auto"/>
            <w:noWrap/>
            <w:vAlign w:val="bottom"/>
            <w:hideMark/>
          </w:tcPr>
          <w:p w:rsidR="00381ACE" w:rsidRPr="00016075" w:rsidRDefault="00381ACE" w:rsidP="00980959">
            <w:pPr>
              <w:spacing w:after="0" w:line="240" w:lineRule="auto"/>
              <w:ind w:right="67"/>
              <w:jc w:val="right"/>
              <w:rPr>
                <w:rFonts w:ascii="Bookman Old Style" w:hAnsi="Bookman Old Style"/>
                <w:b/>
                <w:bCs/>
                <w:lang w:eastAsia="en-IN"/>
              </w:rPr>
            </w:pPr>
            <w:r>
              <w:rPr>
                <w:rFonts w:ascii="Bookman Old Style" w:hAnsi="Bookman Old Style"/>
                <w:b/>
                <w:bCs/>
                <w:lang w:eastAsia="en-IN"/>
              </w:rPr>
              <w:t>12.21</w:t>
            </w:r>
          </w:p>
        </w:tc>
      </w:tr>
    </w:tbl>
    <w:p w:rsidR="00381ACE" w:rsidRDefault="00381ACE" w:rsidP="00717D3E">
      <w:pPr>
        <w:pStyle w:val="BodyText"/>
        <w:spacing w:line="360" w:lineRule="auto"/>
        <w:ind w:right="67"/>
        <w:rPr>
          <w:rFonts w:ascii="Bookman Old Style" w:eastAsiaTheme="minorEastAsia" w:hAnsi="Bookman Old Style"/>
        </w:rPr>
      </w:pPr>
    </w:p>
    <w:p w:rsidR="00381ACE" w:rsidRPr="00AB44CE" w:rsidRDefault="00381ACE" w:rsidP="004F1177">
      <w:pPr>
        <w:pStyle w:val="BodyText"/>
        <w:spacing w:line="360" w:lineRule="auto"/>
        <w:ind w:right="67"/>
        <w:jc w:val="both"/>
        <w:rPr>
          <w:rFonts w:ascii="Bookman Old Style" w:eastAsiaTheme="minorEastAsia" w:hAnsi="Bookman Old Style"/>
        </w:rPr>
      </w:pPr>
      <w:r w:rsidRPr="00AB44CE">
        <w:rPr>
          <w:rFonts w:ascii="Bookman Old Style" w:eastAsiaTheme="minorEastAsia" w:hAnsi="Bookman Old Style"/>
        </w:rPr>
        <w:t xml:space="preserve">Commission is requested to consider Rs. </w:t>
      </w:r>
      <w:r>
        <w:rPr>
          <w:rFonts w:ascii="Bookman Old Style" w:eastAsiaTheme="minorEastAsia" w:hAnsi="Bookman Old Style"/>
        </w:rPr>
        <w:t>12.21</w:t>
      </w:r>
      <w:r w:rsidRPr="00AB44CE">
        <w:rPr>
          <w:rFonts w:ascii="Bookman Old Style" w:eastAsiaTheme="minorEastAsia" w:hAnsi="Bookman Old Style"/>
        </w:rPr>
        <w:t xml:space="preserve"> Crs., as other debits for FY-</w:t>
      </w:r>
      <w:r>
        <w:rPr>
          <w:rFonts w:ascii="Bookman Old Style" w:eastAsiaTheme="minorEastAsia" w:hAnsi="Bookman Old Style"/>
        </w:rPr>
        <w:t>20</w:t>
      </w:r>
      <w:r w:rsidRPr="00AB44CE">
        <w:rPr>
          <w:rFonts w:ascii="Bookman Old Style" w:eastAsiaTheme="minorEastAsia" w:hAnsi="Bookman Old Style"/>
        </w:rPr>
        <w:t>.</w:t>
      </w:r>
    </w:p>
    <w:p w:rsidR="00381ACE" w:rsidRPr="00AB44CE" w:rsidRDefault="00381ACE" w:rsidP="004F1177">
      <w:pPr>
        <w:pStyle w:val="BodyText"/>
        <w:tabs>
          <w:tab w:val="left" w:pos="2214"/>
        </w:tabs>
        <w:spacing w:line="360" w:lineRule="auto"/>
        <w:ind w:right="67"/>
        <w:jc w:val="both"/>
        <w:rPr>
          <w:rFonts w:ascii="Bookman Old Style" w:hAnsi="Bookman Old Style"/>
        </w:rPr>
      </w:pPr>
      <w:r w:rsidRPr="00AB44CE">
        <w:rPr>
          <w:rFonts w:ascii="Bookman Old Style" w:hAnsi="Bookman Old Style"/>
        </w:rPr>
        <w:t xml:space="preserve">Commission is not considering the provisions for bad debts provided in the audited accounts. Hence, Rs. </w:t>
      </w:r>
      <w:r>
        <w:rPr>
          <w:rFonts w:ascii="Bookman Old Style" w:hAnsi="Bookman Old Style"/>
        </w:rPr>
        <w:t>58.62</w:t>
      </w:r>
      <w:r w:rsidRPr="00AB44CE">
        <w:rPr>
          <w:rFonts w:ascii="Bookman Old Style" w:hAnsi="Bookman Old Style"/>
        </w:rPr>
        <w:t xml:space="preserve"> Crs., provided as </w:t>
      </w:r>
      <w:r w:rsidR="004F1177">
        <w:rPr>
          <w:rFonts w:ascii="Bookman Old Style" w:hAnsi="Bookman Old Style"/>
        </w:rPr>
        <w:t>other</w:t>
      </w:r>
      <w:r>
        <w:rPr>
          <w:rFonts w:ascii="Bookman Old Style" w:hAnsi="Bookman Old Style"/>
        </w:rPr>
        <w:t xml:space="preserve"> expenses</w:t>
      </w:r>
      <w:r w:rsidRPr="00AB44CE">
        <w:rPr>
          <w:rFonts w:ascii="Bookman Old Style" w:hAnsi="Bookman Old Style"/>
        </w:rPr>
        <w:t xml:space="preserve"> (provision for bad and doubtful debts) is not proposed for truing up.</w:t>
      </w:r>
    </w:p>
    <w:p w:rsidR="00381ACE" w:rsidRPr="000C4C98" w:rsidRDefault="00381ACE" w:rsidP="00717D3E">
      <w:pPr>
        <w:spacing w:line="360" w:lineRule="auto"/>
        <w:ind w:right="67"/>
        <w:jc w:val="both"/>
        <w:rPr>
          <w:rFonts w:ascii="Bookman Old Style" w:eastAsiaTheme="minorEastAsia" w:hAnsi="Bookman Old Style" w:cs="Arial"/>
          <w:b/>
          <w:color w:val="000000" w:themeColor="text1"/>
          <w:sz w:val="28"/>
          <w:szCs w:val="24"/>
        </w:rPr>
      </w:pPr>
      <w:r w:rsidRPr="000C4C98">
        <w:rPr>
          <w:rFonts w:ascii="Bookman Old Style" w:eastAsiaTheme="minorEastAsia" w:hAnsi="Bookman Old Style" w:cs="Arial"/>
          <w:b/>
          <w:color w:val="000000" w:themeColor="text1"/>
          <w:sz w:val="28"/>
          <w:szCs w:val="24"/>
        </w:rPr>
        <w:t>Return on Equity:</w:t>
      </w:r>
    </w:p>
    <w:p w:rsidR="00381ACE" w:rsidRPr="000C4C98" w:rsidRDefault="00381ACE" w:rsidP="00717D3E">
      <w:pPr>
        <w:spacing w:line="360" w:lineRule="auto"/>
        <w:ind w:right="67"/>
        <w:jc w:val="both"/>
        <w:rPr>
          <w:rFonts w:ascii="Bookman Old Style" w:eastAsia="Century Gothic" w:hAnsi="Bookman Old Style" w:cs="Century Gothic"/>
          <w:color w:val="000000" w:themeColor="text1"/>
        </w:rPr>
      </w:pPr>
      <w:r w:rsidRPr="000C4C98">
        <w:rPr>
          <w:rFonts w:ascii="Bookman Old Style" w:eastAsia="Century Gothic" w:hAnsi="Bookman Old Style" w:cs="Century Gothic"/>
          <w:color w:val="000000" w:themeColor="text1"/>
        </w:rPr>
        <w:t>The Commission in Tariff Order dated 1</w:t>
      </w:r>
      <w:r>
        <w:rPr>
          <w:rFonts w:ascii="Bookman Old Style" w:eastAsia="Century Gothic" w:hAnsi="Bookman Old Style" w:cs="Century Gothic"/>
          <w:color w:val="000000" w:themeColor="text1"/>
        </w:rPr>
        <w:t>4</w:t>
      </w:r>
      <w:r w:rsidRPr="000C4C98">
        <w:rPr>
          <w:rFonts w:ascii="Bookman Old Style" w:eastAsia="Century Gothic" w:hAnsi="Bookman Old Style" w:cs="Century Gothic"/>
          <w:color w:val="000000" w:themeColor="text1"/>
          <w:vertAlign w:val="superscript"/>
        </w:rPr>
        <w:t>th</w:t>
      </w:r>
      <w:r w:rsidRPr="000C4C98">
        <w:rPr>
          <w:rFonts w:ascii="Bookman Old Style" w:eastAsia="Century Gothic" w:hAnsi="Bookman Old Style" w:cs="Century Gothic"/>
          <w:color w:val="000000" w:themeColor="text1"/>
        </w:rPr>
        <w:t xml:space="preserve"> </w:t>
      </w:r>
      <w:r>
        <w:rPr>
          <w:rFonts w:ascii="Bookman Old Style" w:eastAsia="Century Gothic" w:hAnsi="Bookman Old Style" w:cs="Century Gothic"/>
          <w:color w:val="000000" w:themeColor="text1"/>
        </w:rPr>
        <w:t>May, 2018</w:t>
      </w:r>
      <w:r w:rsidRPr="000C4C98">
        <w:rPr>
          <w:rFonts w:ascii="Bookman Old Style" w:eastAsia="Century Gothic" w:hAnsi="Bookman Old Style" w:cs="Century Gothic"/>
          <w:color w:val="000000" w:themeColor="text1"/>
        </w:rPr>
        <w:t xml:space="preserve"> stated that, in accordance with the provisions of the MYT Regulations, return on equity has considered at15.5% duly grossed up with the applicable Minimum Alternate Tax (MAT) of 21.342%. Further, an amount of Rs.100.00 Crores of recapitalized consumer security deposit as net-worth is considered as per the orders of the Hon’ble Appellate Tribunal for Electricity in Appeal No.46/2014.</w:t>
      </w:r>
    </w:p>
    <w:p w:rsidR="00381ACE" w:rsidRDefault="00381ACE" w:rsidP="00717D3E">
      <w:pPr>
        <w:pStyle w:val="BodyText"/>
        <w:spacing w:before="139"/>
        <w:ind w:right="67"/>
        <w:rPr>
          <w:rFonts w:ascii="Bookman Old Style" w:hAnsi="Bookman Old Style"/>
          <w:color w:val="000000" w:themeColor="text1"/>
        </w:rPr>
      </w:pPr>
      <w:r w:rsidRPr="000C4C98">
        <w:rPr>
          <w:rFonts w:ascii="Bookman Old Style" w:hAnsi="Bookman Old Style"/>
          <w:color w:val="000000" w:themeColor="text1"/>
        </w:rPr>
        <w:t xml:space="preserve">Return on Equity computed and </w:t>
      </w:r>
      <w:r>
        <w:rPr>
          <w:rFonts w:ascii="Bookman Old Style" w:hAnsi="Bookman Old Style"/>
          <w:color w:val="000000" w:themeColor="text1"/>
        </w:rPr>
        <w:t>A</w:t>
      </w:r>
      <w:r w:rsidRPr="000C4C98">
        <w:rPr>
          <w:rFonts w:ascii="Bookman Old Style" w:hAnsi="Bookman Old Style"/>
          <w:color w:val="000000" w:themeColor="text1"/>
        </w:rPr>
        <w:t>pproved for FY</w:t>
      </w:r>
      <w:r w:rsidR="001F0DC3">
        <w:rPr>
          <w:rFonts w:ascii="Bookman Old Style" w:hAnsi="Bookman Old Style"/>
          <w:color w:val="000000" w:themeColor="text1"/>
        </w:rPr>
        <w:t>-</w:t>
      </w:r>
      <w:r>
        <w:rPr>
          <w:rFonts w:ascii="Bookman Old Style" w:hAnsi="Bookman Old Style"/>
          <w:color w:val="000000" w:themeColor="text1"/>
        </w:rPr>
        <w:t>20</w:t>
      </w:r>
      <w:r w:rsidRPr="000C4C98">
        <w:rPr>
          <w:rFonts w:ascii="Bookman Old Style" w:hAnsi="Bookman Old Style"/>
          <w:color w:val="000000" w:themeColor="text1"/>
        </w:rPr>
        <w:t xml:space="preserve"> is as follows:</w:t>
      </w:r>
    </w:p>
    <w:p w:rsidR="00381ACE" w:rsidRDefault="00381ACE" w:rsidP="00717D3E">
      <w:pPr>
        <w:spacing w:after="0" w:line="240" w:lineRule="auto"/>
        <w:ind w:right="67"/>
        <w:rPr>
          <w:rFonts w:ascii="Bookman Old Style" w:hAnsi="Bookman Old Style"/>
          <w:color w:val="000000" w:themeColor="text1"/>
          <w:szCs w:val="24"/>
        </w:rPr>
      </w:pPr>
    </w:p>
    <w:p w:rsidR="00381ACE" w:rsidRPr="000C4C98" w:rsidRDefault="00381ACE" w:rsidP="00717D3E">
      <w:pPr>
        <w:spacing w:after="0" w:line="240" w:lineRule="auto"/>
        <w:ind w:right="67"/>
        <w:rPr>
          <w:rFonts w:ascii="Bookman Old Style" w:hAnsi="Bookman Old Style"/>
          <w:b/>
          <w:color w:val="000000" w:themeColor="text1"/>
        </w:rPr>
      </w:pPr>
      <w:r w:rsidRPr="000C4C98">
        <w:rPr>
          <w:rFonts w:ascii="Bookman Old Style" w:hAnsi="Bookman Old Style"/>
          <w:b/>
          <w:color w:val="000000" w:themeColor="text1"/>
        </w:rPr>
        <w:t>Ap</w:t>
      </w:r>
      <w:r>
        <w:rPr>
          <w:rFonts w:ascii="Bookman Old Style" w:hAnsi="Bookman Old Style"/>
          <w:b/>
          <w:color w:val="000000" w:themeColor="text1"/>
        </w:rPr>
        <w:t>proved Return on Equity for FY-20</w:t>
      </w:r>
    </w:p>
    <w:p w:rsidR="00381ACE" w:rsidRPr="000C4C98" w:rsidRDefault="00381ACE" w:rsidP="00717D3E">
      <w:pPr>
        <w:spacing w:after="0" w:line="240" w:lineRule="auto"/>
        <w:ind w:right="67"/>
        <w:jc w:val="center"/>
        <w:rPr>
          <w:rFonts w:ascii="Bookman Old Style" w:hAnsi="Bookman Old Style"/>
          <w:b/>
          <w:color w:val="000000" w:themeColor="text1"/>
          <w:sz w:val="20"/>
        </w:rPr>
      </w:pPr>
    </w:p>
    <w:p w:rsidR="00381ACE" w:rsidRPr="009B0360" w:rsidRDefault="004D2832" w:rsidP="004D2832">
      <w:pPr>
        <w:spacing w:line="360" w:lineRule="auto"/>
        <w:ind w:right="67"/>
        <w:jc w:val="center"/>
        <w:rPr>
          <w:rFonts w:ascii="Bookman Old Style" w:hAnsi="Bookman Old Style"/>
          <w:b/>
          <w:color w:val="000000" w:themeColor="text1"/>
          <w:sz w:val="14"/>
        </w:rPr>
      </w:pPr>
      <w:r>
        <w:rPr>
          <w:rFonts w:ascii="Bookman Old Style" w:hAnsi="Bookman Old Style"/>
          <w:b/>
          <w:color w:val="000000" w:themeColor="text1"/>
          <w:sz w:val="16"/>
        </w:rPr>
        <w:tab/>
      </w:r>
      <w:r>
        <w:rPr>
          <w:rFonts w:ascii="Bookman Old Style" w:hAnsi="Bookman Old Style"/>
          <w:b/>
          <w:color w:val="000000" w:themeColor="text1"/>
          <w:sz w:val="16"/>
        </w:rPr>
        <w:tab/>
      </w:r>
      <w:r w:rsidRPr="009B0360">
        <w:rPr>
          <w:rFonts w:ascii="Bookman Old Style" w:hAnsi="Bookman Old Style"/>
          <w:b/>
          <w:color w:val="000000" w:themeColor="text1"/>
          <w:sz w:val="14"/>
        </w:rPr>
        <w:t xml:space="preserve">                   </w:t>
      </w:r>
      <w:r w:rsidRPr="009B0360">
        <w:rPr>
          <w:rFonts w:ascii="Bookman Old Style" w:hAnsi="Bookman Old Style" w:cs="Calibri"/>
          <w:b/>
          <w:bCs/>
          <w:sz w:val="18"/>
          <w:lang w:eastAsia="en-IN"/>
        </w:rPr>
        <w:t>Table 3.</w:t>
      </w:r>
      <w:r w:rsidR="00D521C1">
        <w:rPr>
          <w:rFonts w:ascii="Bookman Old Style" w:hAnsi="Bookman Old Style" w:cs="Calibri"/>
          <w:b/>
          <w:bCs/>
          <w:sz w:val="18"/>
          <w:szCs w:val="20"/>
          <w:lang w:eastAsia="en-IN"/>
        </w:rPr>
        <w:t>4</w:t>
      </w:r>
      <w:r w:rsidR="001F0DC3">
        <w:rPr>
          <w:rFonts w:ascii="Bookman Old Style" w:hAnsi="Bookman Old Style" w:cs="Calibri"/>
          <w:b/>
          <w:bCs/>
          <w:sz w:val="18"/>
          <w:szCs w:val="20"/>
          <w:lang w:eastAsia="en-IN"/>
        </w:rPr>
        <w:t>0</w:t>
      </w:r>
      <w:r w:rsidRPr="009B0360">
        <w:rPr>
          <w:rFonts w:ascii="Bookman Old Style" w:hAnsi="Bookman Old Style" w:cs="Calibri"/>
          <w:b/>
          <w:bCs/>
          <w:sz w:val="18"/>
          <w:szCs w:val="20"/>
          <w:lang w:eastAsia="en-IN"/>
        </w:rPr>
        <w:t xml:space="preserve">    </w:t>
      </w:r>
      <w:r w:rsidRPr="009B0360">
        <w:rPr>
          <w:rFonts w:ascii="Bookman Old Style" w:eastAsiaTheme="minorEastAsia" w:hAnsi="Bookman Old Style" w:cs="Arial"/>
          <w:b/>
          <w:sz w:val="18"/>
          <w:szCs w:val="20"/>
        </w:rPr>
        <w:t xml:space="preserve">     </w:t>
      </w:r>
      <w:r w:rsidR="00E139D2">
        <w:rPr>
          <w:rFonts w:ascii="Bookman Old Style" w:eastAsiaTheme="minorEastAsia" w:hAnsi="Bookman Old Style" w:cs="Arial"/>
          <w:b/>
          <w:sz w:val="18"/>
          <w:szCs w:val="20"/>
        </w:rPr>
        <w:t xml:space="preserve">          </w:t>
      </w:r>
      <w:r w:rsidRPr="009B0360">
        <w:rPr>
          <w:rFonts w:ascii="Bookman Old Style" w:eastAsiaTheme="minorEastAsia" w:hAnsi="Bookman Old Style" w:cs="Arial"/>
          <w:b/>
          <w:sz w:val="18"/>
          <w:szCs w:val="20"/>
        </w:rPr>
        <w:t xml:space="preserve">     Amount in Crs.</w:t>
      </w:r>
    </w:p>
    <w:tbl>
      <w:tblPr>
        <w:tblW w:w="6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1245"/>
      </w:tblGrid>
      <w:tr w:rsidR="00381ACE" w:rsidRPr="00152759" w:rsidTr="004F1177">
        <w:trPr>
          <w:trHeight w:val="139"/>
          <w:jc w:val="center"/>
        </w:trPr>
        <w:tc>
          <w:tcPr>
            <w:tcW w:w="5242" w:type="dxa"/>
            <w:shd w:val="clear" w:color="auto" w:fill="auto"/>
            <w:noWrap/>
            <w:vAlign w:val="bottom"/>
            <w:hideMark/>
          </w:tcPr>
          <w:p w:rsidR="00381ACE" w:rsidRPr="00152759" w:rsidRDefault="00381ACE" w:rsidP="00980959">
            <w:pPr>
              <w:pStyle w:val="NoSpacing"/>
              <w:ind w:right="67"/>
              <w:rPr>
                <w:rFonts w:ascii="Bookman Old Style" w:hAnsi="Bookman Old Style"/>
                <w:b/>
                <w:lang w:val="en-IN" w:eastAsia="en-IN"/>
              </w:rPr>
            </w:pPr>
            <w:r w:rsidRPr="00152759">
              <w:rPr>
                <w:rFonts w:ascii="Bookman Old Style" w:hAnsi="Bookman Old Style"/>
                <w:b/>
                <w:lang w:val="en-IN" w:eastAsia="en-IN"/>
              </w:rPr>
              <w:t>Particulars</w:t>
            </w:r>
          </w:p>
        </w:tc>
        <w:tc>
          <w:tcPr>
            <w:tcW w:w="1245" w:type="dxa"/>
            <w:shd w:val="clear" w:color="auto" w:fill="auto"/>
            <w:noWrap/>
            <w:vAlign w:val="bottom"/>
            <w:hideMark/>
          </w:tcPr>
          <w:p w:rsidR="00381ACE" w:rsidRPr="00152759" w:rsidRDefault="00381ACE" w:rsidP="00980959">
            <w:pPr>
              <w:pStyle w:val="NoSpacing"/>
              <w:ind w:right="67"/>
              <w:rPr>
                <w:rFonts w:ascii="Bookman Old Style" w:hAnsi="Bookman Old Style"/>
                <w:b/>
                <w:lang w:val="en-IN" w:eastAsia="en-IN"/>
              </w:rPr>
            </w:pPr>
            <w:r w:rsidRPr="00152759">
              <w:rPr>
                <w:rFonts w:ascii="Bookman Old Style" w:hAnsi="Bookman Old Style"/>
                <w:b/>
                <w:lang w:val="en-IN" w:eastAsia="en-IN"/>
              </w:rPr>
              <w:t xml:space="preserve"> FY-20</w:t>
            </w:r>
          </w:p>
        </w:tc>
      </w:tr>
      <w:tr w:rsidR="00381ACE" w:rsidRPr="00152759" w:rsidTr="004F1177">
        <w:trPr>
          <w:trHeight w:val="249"/>
          <w:jc w:val="center"/>
        </w:trPr>
        <w:tc>
          <w:tcPr>
            <w:tcW w:w="5242" w:type="dxa"/>
            <w:shd w:val="clear" w:color="auto" w:fill="auto"/>
            <w:vAlign w:val="center"/>
            <w:hideMark/>
          </w:tcPr>
          <w:p w:rsidR="00381ACE" w:rsidRPr="00152759" w:rsidRDefault="00381ACE" w:rsidP="00980959">
            <w:pPr>
              <w:pStyle w:val="NoSpacing"/>
              <w:ind w:right="67"/>
              <w:rPr>
                <w:rFonts w:ascii="Bookman Old Style" w:hAnsi="Bookman Old Style"/>
                <w:lang w:val="en-IN" w:eastAsia="en-IN"/>
              </w:rPr>
            </w:pPr>
            <w:r w:rsidRPr="00152759">
              <w:rPr>
                <w:rFonts w:ascii="Bookman Old Style" w:hAnsi="Bookman Old Style"/>
                <w:lang w:val="en-IN" w:eastAsia="en-IN"/>
              </w:rPr>
              <w:t xml:space="preserve">Opening balance of paid up share capital </w:t>
            </w:r>
          </w:p>
        </w:tc>
        <w:tc>
          <w:tcPr>
            <w:tcW w:w="1245" w:type="dxa"/>
            <w:shd w:val="clear" w:color="auto" w:fill="auto"/>
            <w:noWrap/>
            <w:vAlign w:val="bottom"/>
            <w:hideMark/>
          </w:tcPr>
          <w:p w:rsidR="00381ACE" w:rsidRPr="00152759" w:rsidRDefault="00381ACE" w:rsidP="00980959">
            <w:pPr>
              <w:pStyle w:val="NoSpacing"/>
              <w:ind w:right="67"/>
              <w:jc w:val="right"/>
              <w:rPr>
                <w:rFonts w:ascii="Bookman Old Style" w:hAnsi="Bookman Old Style"/>
                <w:lang w:val="en-IN" w:eastAsia="en-IN"/>
              </w:rPr>
            </w:pPr>
            <w:r w:rsidRPr="00152759">
              <w:rPr>
                <w:rFonts w:ascii="Bookman Old Style" w:hAnsi="Bookman Old Style"/>
                <w:lang w:val="en-IN" w:eastAsia="en-IN"/>
              </w:rPr>
              <w:t>546.9</w:t>
            </w:r>
            <w:r>
              <w:rPr>
                <w:rFonts w:ascii="Bookman Old Style" w:hAnsi="Bookman Old Style"/>
                <w:lang w:val="en-IN" w:eastAsia="en-IN"/>
              </w:rPr>
              <w:t>2</w:t>
            </w:r>
          </w:p>
        </w:tc>
      </w:tr>
      <w:tr w:rsidR="00381ACE" w:rsidRPr="00152759" w:rsidTr="004F1177">
        <w:trPr>
          <w:trHeight w:val="139"/>
          <w:jc w:val="center"/>
        </w:trPr>
        <w:tc>
          <w:tcPr>
            <w:tcW w:w="5242" w:type="dxa"/>
            <w:shd w:val="clear" w:color="auto" w:fill="auto"/>
            <w:vAlign w:val="center"/>
            <w:hideMark/>
          </w:tcPr>
          <w:p w:rsidR="00381ACE" w:rsidRPr="00152759" w:rsidRDefault="00381ACE" w:rsidP="00980959">
            <w:pPr>
              <w:pStyle w:val="NoSpacing"/>
              <w:ind w:right="67"/>
              <w:rPr>
                <w:rFonts w:ascii="Bookman Old Style" w:hAnsi="Bookman Old Style"/>
                <w:lang w:val="en-IN" w:eastAsia="en-IN"/>
              </w:rPr>
            </w:pPr>
            <w:r w:rsidRPr="00152759">
              <w:rPr>
                <w:rFonts w:ascii="Bookman Old Style" w:hAnsi="Bookman Old Style"/>
                <w:lang w:val="en-IN" w:eastAsia="en-IN"/>
              </w:rPr>
              <w:t>Share deposit</w:t>
            </w:r>
          </w:p>
        </w:tc>
        <w:tc>
          <w:tcPr>
            <w:tcW w:w="1245" w:type="dxa"/>
            <w:shd w:val="clear" w:color="auto" w:fill="auto"/>
            <w:noWrap/>
            <w:vAlign w:val="bottom"/>
            <w:hideMark/>
          </w:tcPr>
          <w:p w:rsidR="00381ACE" w:rsidRPr="00152759" w:rsidRDefault="00381ACE" w:rsidP="00980959">
            <w:pPr>
              <w:pStyle w:val="NoSpacing"/>
              <w:ind w:right="67"/>
              <w:jc w:val="right"/>
              <w:rPr>
                <w:rFonts w:ascii="Bookman Old Style" w:hAnsi="Bookman Old Style"/>
                <w:lang w:val="en-IN" w:eastAsia="en-IN"/>
              </w:rPr>
            </w:pPr>
            <w:r w:rsidRPr="00152759">
              <w:rPr>
                <w:rFonts w:ascii="Bookman Old Style" w:hAnsi="Bookman Old Style"/>
                <w:lang w:val="en-IN" w:eastAsia="en-IN"/>
              </w:rPr>
              <w:t>738.69</w:t>
            </w:r>
          </w:p>
        </w:tc>
      </w:tr>
      <w:tr w:rsidR="00381ACE" w:rsidRPr="00152759" w:rsidTr="004F1177">
        <w:trPr>
          <w:trHeight w:val="139"/>
          <w:jc w:val="center"/>
        </w:trPr>
        <w:tc>
          <w:tcPr>
            <w:tcW w:w="5242" w:type="dxa"/>
            <w:shd w:val="clear" w:color="auto" w:fill="auto"/>
            <w:noWrap/>
            <w:vAlign w:val="bottom"/>
            <w:hideMark/>
          </w:tcPr>
          <w:p w:rsidR="00381ACE" w:rsidRPr="00152759" w:rsidRDefault="00381ACE" w:rsidP="00980959">
            <w:pPr>
              <w:pStyle w:val="NoSpacing"/>
              <w:ind w:right="67"/>
              <w:rPr>
                <w:rFonts w:ascii="Bookman Old Style" w:hAnsi="Bookman Old Style"/>
                <w:lang w:val="en-IN" w:eastAsia="en-IN"/>
              </w:rPr>
            </w:pPr>
            <w:r w:rsidRPr="00152759">
              <w:rPr>
                <w:rFonts w:ascii="Bookman Old Style" w:hAnsi="Bookman Old Style"/>
                <w:lang w:val="en-IN" w:eastAsia="en-IN"/>
              </w:rPr>
              <w:t>Reserve and Surplus</w:t>
            </w:r>
          </w:p>
        </w:tc>
        <w:tc>
          <w:tcPr>
            <w:tcW w:w="1245" w:type="dxa"/>
            <w:shd w:val="clear" w:color="auto" w:fill="auto"/>
            <w:noWrap/>
            <w:vAlign w:val="bottom"/>
            <w:hideMark/>
          </w:tcPr>
          <w:p w:rsidR="00381ACE" w:rsidRPr="00152759" w:rsidRDefault="00381ACE" w:rsidP="00980959">
            <w:pPr>
              <w:pStyle w:val="NoSpacing"/>
              <w:ind w:right="67"/>
              <w:jc w:val="right"/>
              <w:rPr>
                <w:rFonts w:ascii="Bookman Old Style" w:hAnsi="Bookman Old Style"/>
                <w:lang w:val="en-IN" w:eastAsia="en-IN"/>
              </w:rPr>
            </w:pPr>
            <w:r w:rsidRPr="00152759">
              <w:rPr>
                <w:rFonts w:ascii="Bookman Old Style" w:hAnsi="Bookman Old Style"/>
                <w:lang w:val="en-IN" w:eastAsia="en-IN"/>
              </w:rPr>
              <w:t>-205.79</w:t>
            </w:r>
          </w:p>
        </w:tc>
      </w:tr>
      <w:tr w:rsidR="00381ACE" w:rsidRPr="00152759" w:rsidTr="004F1177">
        <w:trPr>
          <w:trHeight w:val="139"/>
          <w:jc w:val="center"/>
        </w:trPr>
        <w:tc>
          <w:tcPr>
            <w:tcW w:w="5242" w:type="dxa"/>
            <w:shd w:val="clear" w:color="auto" w:fill="auto"/>
            <w:vAlign w:val="center"/>
            <w:hideMark/>
          </w:tcPr>
          <w:p w:rsidR="00381ACE" w:rsidRPr="00152759" w:rsidRDefault="00381ACE" w:rsidP="00980959">
            <w:pPr>
              <w:pStyle w:val="NoSpacing"/>
              <w:ind w:right="67"/>
              <w:rPr>
                <w:rFonts w:ascii="Bookman Old Style" w:hAnsi="Bookman Old Style"/>
                <w:lang w:val="en-IN" w:eastAsia="en-IN"/>
              </w:rPr>
            </w:pPr>
            <w:r w:rsidRPr="00152759">
              <w:rPr>
                <w:rFonts w:ascii="Bookman Old Style" w:hAnsi="Bookman Old Style"/>
                <w:lang w:val="en-IN" w:eastAsia="en-IN"/>
              </w:rPr>
              <w:t xml:space="preserve">Less: Recapitalised Security Deposit </w:t>
            </w:r>
          </w:p>
        </w:tc>
        <w:tc>
          <w:tcPr>
            <w:tcW w:w="1245" w:type="dxa"/>
            <w:shd w:val="clear" w:color="auto" w:fill="auto"/>
            <w:noWrap/>
            <w:vAlign w:val="bottom"/>
            <w:hideMark/>
          </w:tcPr>
          <w:p w:rsidR="00381ACE" w:rsidRPr="00152759" w:rsidRDefault="00381ACE" w:rsidP="00980959">
            <w:pPr>
              <w:pStyle w:val="NoSpacing"/>
              <w:ind w:right="67"/>
              <w:jc w:val="right"/>
              <w:rPr>
                <w:rFonts w:ascii="Bookman Old Style" w:hAnsi="Bookman Old Style"/>
                <w:lang w:val="en-IN" w:eastAsia="en-IN"/>
              </w:rPr>
            </w:pPr>
            <w:r w:rsidRPr="00152759">
              <w:rPr>
                <w:rFonts w:ascii="Bookman Old Style" w:hAnsi="Bookman Old Style"/>
                <w:lang w:val="en-IN" w:eastAsia="en-IN"/>
              </w:rPr>
              <w:t>-100</w:t>
            </w:r>
          </w:p>
        </w:tc>
      </w:tr>
      <w:tr w:rsidR="00381ACE" w:rsidRPr="00152759" w:rsidTr="004F1177">
        <w:trPr>
          <w:trHeight w:val="195"/>
          <w:jc w:val="center"/>
        </w:trPr>
        <w:tc>
          <w:tcPr>
            <w:tcW w:w="5242" w:type="dxa"/>
            <w:shd w:val="clear" w:color="auto" w:fill="auto"/>
            <w:noWrap/>
            <w:vAlign w:val="bottom"/>
            <w:hideMark/>
          </w:tcPr>
          <w:p w:rsidR="00381ACE" w:rsidRPr="00152759" w:rsidRDefault="00381ACE" w:rsidP="00980959">
            <w:pPr>
              <w:pStyle w:val="NoSpacing"/>
              <w:ind w:right="67"/>
              <w:rPr>
                <w:rFonts w:ascii="Bookman Old Style" w:hAnsi="Bookman Old Style"/>
                <w:lang w:val="en-IN" w:eastAsia="en-IN"/>
              </w:rPr>
            </w:pPr>
            <w:r w:rsidRPr="00152759">
              <w:rPr>
                <w:rFonts w:ascii="Bookman Old Style" w:hAnsi="Bookman Old Style"/>
                <w:lang w:val="en-IN" w:eastAsia="en-IN"/>
              </w:rPr>
              <w:t>Total Equity</w:t>
            </w:r>
          </w:p>
        </w:tc>
        <w:tc>
          <w:tcPr>
            <w:tcW w:w="1245" w:type="dxa"/>
            <w:shd w:val="clear" w:color="auto" w:fill="auto"/>
            <w:noWrap/>
            <w:vAlign w:val="bottom"/>
            <w:hideMark/>
          </w:tcPr>
          <w:p w:rsidR="00381ACE" w:rsidRPr="00152759" w:rsidRDefault="00381ACE" w:rsidP="00980959">
            <w:pPr>
              <w:pStyle w:val="NoSpacing"/>
              <w:ind w:right="67"/>
              <w:jc w:val="right"/>
              <w:rPr>
                <w:rFonts w:ascii="Bookman Old Style" w:hAnsi="Bookman Old Style"/>
                <w:lang w:val="en-IN" w:eastAsia="en-IN"/>
              </w:rPr>
            </w:pPr>
            <w:r w:rsidRPr="00152759">
              <w:rPr>
                <w:rFonts w:ascii="Bookman Old Style" w:hAnsi="Bookman Old Style"/>
                <w:lang w:val="en-IN" w:eastAsia="en-IN"/>
              </w:rPr>
              <w:t>979.82</w:t>
            </w:r>
          </w:p>
        </w:tc>
      </w:tr>
      <w:tr w:rsidR="00381ACE" w:rsidRPr="00152759" w:rsidTr="004F1177">
        <w:trPr>
          <w:trHeight w:val="139"/>
          <w:jc w:val="center"/>
        </w:trPr>
        <w:tc>
          <w:tcPr>
            <w:tcW w:w="5242" w:type="dxa"/>
            <w:shd w:val="clear" w:color="auto" w:fill="auto"/>
            <w:noWrap/>
            <w:vAlign w:val="bottom"/>
            <w:hideMark/>
          </w:tcPr>
          <w:p w:rsidR="00381ACE" w:rsidRPr="00152759" w:rsidRDefault="00381ACE" w:rsidP="00980959">
            <w:pPr>
              <w:pStyle w:val="NoSpacing"/>
              <w:ind w:right="67"/>
              <w:rPr>
                <w:rFonts w:ascii="Bookman Old Style" w:hAnsi="Bookman Old Style"/>
                <w:b/>
                <w:lang w:val="en-IN" w:eastAsia="en-IN"/>
              </w:rPr>
            </w:pPr>
            <w:r w:rsidRPr="00152759">
              <w:rPr>
                <w:rFonts w:ascii="Bookman Old Style" w:hAnsi="Bookman Old Style"/>
                <w:b/>
                <w:lang w:val="en-IN" w:eastAsia="en-IN"/>
              </w:rPr>
              <w:t>Approved Return on Equity with MAT</w:t>
            </w:r>
          </w:p>
        </w:tc>
        <w:tc>
          <w:tcPr>
            <w:tcW w:w="1245" w:type="dxa"/>
            <w:shd w:val="clear" w:color="auto" w:fill="auto"/>
            <w:noWrap/>
            <w:vAlign w:val="bottom"/>
            <w:hideMark/>
          </w:tcPr>
          <w:p w:rsidR="00381ACE" w:rsidRPr="00152759" w:rsidRDefault="00381ACE" w:rsidP="00980959">
            <w:pPr>
              <w:pStyle w:val="NoSpacing"/>
              <w:ind w:right="67"/>
              <w:jc w:val="right"/>
              <w:rPr>
                <w:rFonts w:ascii="Bookman Old Style" w:hAnsi="Bookman Old Style"/>
                <w:b/>
                <w:lang w:val="en-IN" w:eastAsia="en-IN"/>
              </w:rPr>
            </w:pPr>
            <w:r w:rsidRPr="00152759">
              <w:rPr>
                <w:rFonts w:ascii="Bookman Old Style" w:hAnsi="Bookman Old Style"/>
                <w:b/>
                <w:lang w:val="en-IN" w:eastAsia="en-IN"/>
              </w:rPr>
              <w:t>193.59</w:t>
            </w:r>
          </w:p>
        </w:tc>
      </w:tr>
    </w:tbl>
    <w:p w:rsidR="00381ACE" w:rsidRDefault="00381ACE" w:rsidP="00717D3E">
      <w:pPr>
        <w:spacing w:after="0" w:line="240" w:lineRule="auto"/>
        <w:ind w:right="67" w:firstLine="720"/>
        <w:rPr>
          <w:rFonts w:ascii="Bookman Old Style" w:hAnsi="Bookman Old Style"/>
          <w:b/>
          <w:color w:val="000000" w:themeColor="text1"/>
          <w:sz w:val="16"/>
        </w:rPr>
      </w:pPr>
    </w:p>
    <w:p w:rsidR="00381ACE" w:rsidRPr="000C4C98" w:rsidRDefault="00381ACE" w:rsidP="00717D3E">
      <w:pPr>
        <w:spacing w:line="360" w:lineRule="auto"/>
        <w:ind w:right="67"/>
        <w:jc w:val="both"/>
        <w:rPr>
          <w:rFonts w:ascii="Bookman Old Style" w:eastAsia="Century Gothic" w:hAnsi="Bookman Old Style" w:cs="Century Gothic"/>
          <w:color w:val="000000" w:themeColor="text1"/>
        </w:rPr>
      </w:pPr>
      <w:r w:rsidRPr="000C4C98">
        <w:rPr>
          <w:rFonts w:ascii="Bookman Old Style" w:eastAsia="Century Gothic" w:hAnsi="Bookman Old Style" w:cs="Century Gothic"/>
          <w:color w:val="000000" w:themeColor="text1"/>
        </w:rPr>
        <w:t>Following points are placed for kind consideration of the Commission.</w:t>
      </w:r>
    </w:p>
    <w:p w:rsidR="00381ACE" w:rsidRDefault="00381ACE" w:rsidP="00717D3E">
      <w:pPr>
        <w:widowControl w:val="0"/>
        <w:spacing w:line="360" w:lineRule="auto"/>
        <w:ind w:right="67"/>
        <w:jc w:val="both"/>
        <w:rPr>
          <w:rFonts w:ascii="Times New Roman" w:hAnsi="Times New Roman"/>
          <w:b/>
          <w:bCs/>
          <w:sz w:val="24"/>
          <w:szCs w:val="24"/>
          <w:lang w:eastAsia="en-IN"/>
        </w:rPr>
      </w:pPr>
      <w:r>
        <w:rPr>
          <w:rFonts w:ascii="Bookman Old Style" w:hAnsi="Bookman Old Style"/>
          <w:color w:val="000000" w:themeColor="text1"/>
        </w:rPr>
        <w:lastRenderedPageBreak/>
        <w:t>As per Accounts of FY-20</w:t>
      </w:r>
      <w:r w:rsidR="00075663">
        <w:rPr>
          <w:rFonts w:ascii="Bookman Old Style" w:eastAsiaTheme="minorEastAsia" w:hAnsi="Bookman Old Style" w:cs="Arial"/>
        </w:rPr>
        <w:t>(awaiting</w:t>
      </w:r>
      <w:r w:rsidR="008F63EC">
        <w:rPr>
          <w:rFonts w:ascii="Bookman Old Style" w:eastAsiaTheme="minorEastAsia" w:hAnsi="Bookman Old Style" w:cs="Arial"/>
        </w:rPr>
        <w:t xml:space="preserve"> B</w:t>
      </w:r>
      <w:r w:rsidR="00075663">
        <w:rPr>
          <w:rFonts w:ascii="Bookman Old Style" w:eastAsiaTheme="minorEastAsia" w:hAnsi="Bookman Old Style" w:cs="Arial"/>
        </w:rPr>
        <w:t>oard approval)</w:t>
      </w:r>
      <w:r w:rsidRPr="000C4C98">
        <w:rPr>
          <w:rFonts w:ascii="Bookman Old Style" w:hAnsi="Bookman Old Style"/>
          <w:color w:val="000000" w:themeColor="text1"/>
        </w:rPr>
        <w:t xml:space="preserve">, </w:t>
      </w:r>
      <w:r>
        <w:rPr>
          <w:rFonts w:ascii="Bookman Old Style" w:hAnsi="Bookman Old Style"/>
          <w:color w:val="000000" w:themeColor="text1"/>
        </w:rPr>
        <w:t>debit and equity ratio for FY-20</w:t>
      </w:r>
      <w:r w:rsidRPr="000C4C98">
        <w:rPr>
          <w:rFonts w:ascii="Bookman Old Style" w:hAnsi="Bookman Old Style"/>
          <w:color w:val="000000" w:themeColor="text1"/>
        </w:rPr>
        <w:t xml:space="preserve"> is tabulated as under:</w:t>
      </w:r>
      <w:r w:rsidRPr="000C4C98">
        <w:rPr>
          <w:rFonts w:ascii="Times New Roman" w:hAnsi="Times New Roman"/>
          <w:b/>
          <w:bCs/>
          <w:sz w:val="24"/>
          <w:szCs w:val="24"/>
          <w:lang w:eastAsia="en-IN"/>
        </w:rPr>
        <w:t xml:space="preserve"> </w:t>
      </w:r>
    </w:p>
    <w:p w:rsidR="00381ACE" w:rsidRPr="002851B1" w:rsidRDefault="00381ACE" w:rsidP="00717D3E">
      <w:pPr>
        <w:widowControl w:val="0"/>
        <w:spacing w:line="360" w:lineRule="auto"/>
        <w:ind w:right="67"/>
        <w:jc w:val="both"/>
        <w:rPr>
          <w:rFonts w:ascii="Bookman Old Style" w:hAnsi="Bookman Old Style"/>
          <w:b/>
          <w:bCs/>
          <w:szCs w:val="24"/>
          <w:lang w:eastAsia="en-IN"/>
        </w:rPr>
      </w:pPr>
      <w:r w:rsidRPr="002851B1">
        <w:rPr>
          <w:rFonts w:ascii="Bookman Old Style" w:hAnsi="Bookman Old Style"/>
          <w:b/>
          <w:bCs/>
          <w:szCs w:val="24"/>
          <w:lang w:eastAsia="en-IN"/>
        </w:rPr>
        <w:t>As per accounts Debt Equity Ratio</w:t>
      </w:r>
    </w:p>
    <w:p w:rsidR="004D2832" w:rsidRPr="009B0360" w:rsidRDefault="004D2832" w:rsidP="004D2832">
      <w:pPr>
        <w:widowControl w:val="0"/>
        <w:spacing w:line="360" w:lineRule="auto"/>
        <w:ind w:right="67"/>
        <w:jc w:val="center"/>
        <w:rPr>
          <w:rFonts w:ascii="Times New Roman" w:hAnsi="Times New Roman"/>
          <w:b/>
          <w:bCs/>
          <w:szCs w:val="24"/>
          <w:lang w:eastAsia="en-IN"/>
        </w:rPr>
      </w:pPr>
      <w:r w:rsidRPr="009B0360">
        <w:rPr>
          <w:rFonts w:ascii="Bookman Old Style" w:hAnsi="Bookman Old Style" w:cs="Calibri"/>
          <w:b/>
          <w:bCs/>
          <w:sz w:val="18"/>
          <w:lang w:eastAsia="en-IN"/>
        </w:rPr>
        <w:t>Table 3.</w:t>
      </w:r>
      <w:r w:rsidR="00D521C1">
        <w:rPr>
          <w:rFonts w:ascii="Bookman Old Style" w:hAnsi="Bookman Old Style" w:cs="Calibri"/>
          <w:b/>
          <w:bCs/>
          <w:sz w:val="18"/>
          <w:szCs w:val="20"/>
          <w:lang w:eastAsia="en-IN"/>
        </w:rPr>
        <w:t>4</w:t>
      </w:r>
      <w:r w:rsidR="001F0DC3">
        <w:rPr>
          <w:rFonts w:ascii="Bookman Old Style" w:hAnsi="Bookman Old Style" w:cs="Calibri"/>
          <w:b/>
          <w:bCs/>
          <w:sz w:val="18"/>
          <w:szCs w:val="20"/>
          <w:lang w:eastAsia="en-IN"/>
        </w:rPr>
        <w:t>1</w:t>
      </w:r>
    </w:p>
    <w:tbl>
      <w:tblPr>
        <w:tblW w:w="10015" w:type="dxa"/>
        <w:tblInd w:w="-176" w:type="dxa"/>
        <w:tblLayout w:type="fixed"/>
        <w:tblLook w:val="04A0" w:firstRow="1" w:lastRow="0" w:firstColumn="1" w:lastColumn="0" w:noHBand="0" w:noVBand="1"/>
      </w:tblPr>
      <w:tblGrid>
        <w:gridCol w:w="1416"/>
        <w:gridCol w:w="1216"/>
        <w:gridCol w:w="1156"/>
        <w:gridCol w:w="972"/>
        <w:gridCol w:w="1383"/>
        <w:gridCol w:w="1478"/>
        <w:gridCol w:w="1161"/>
        <w:gridCol w:w="1233"/>
      </w:tblGrid>
      <w:tr w:rsidR="00381ACE" w:rsidRPr="00212F2E" w:rsidTr="00BB7048">
        <w:trPr>
          <w:trHeight w:val="660"/>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center"/>
              <w:rPr>
                <w:rFonts w:ascii="Bookman Old Style" w:hAnsi="Bookman Old Style"/>
                <w:b/>
                <w:bCs/>
                <w:sz w:val="20"/>
                <w:szCs w:val="20"/>
                <w:lang w:eastAsia="en-IN"/>
              </w:rPr>
            </w:pPr>
            <w:r w:rsidRPr="00212F2E">
              <w:rPr>
                <w:rFonts w:ascii="Bookman Old Style" w:hAnsi="Bookman Old Style"/>
                <w:b/>
                <w:bCs/>
                <w:sz w:val="20"/>
                <w:szCs w:val="20"/>
                <w:lang w:eastAsia="en-IN"/>
              </w:rPr>
              <w:t>Particulars</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center"/>
              <w:rPr>
                <w:rFonts w:ascii="Bookman Old Style" w:hAnsi="Bookman Old Style"/>
                <w:b/>
                <w:bCs/>
                <w:sz w:val="20"/>
                <w:szCs w:val="20"/>
                <w:lang w:eastAsia="en-IN"/>
              </w:rPr>
            </w:pPr>
            <w:r w:rsidRPr="00212F2E">
              <w:rPr>
                <w:rFonts w:ascii="Bookman Old Style" w:hAnsi="Bookman Old Style"/>
                <w:b/>
                <w:bCs/>
                <w:sz w:val="20"/>
                <w:szCs w:val="20"/>
                <w:lang w:eastAsia="en-IN"/>
              </w:rPr>
              <w:t>GFA</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center"/>
              <w:rPr>
                <w:rFonts w:ascii="Bookman Old Style" w:hAnsi="Bookman Old Style"/>
                <w:b/>
                <w:bCs/>
                <w:sz w:val="20"/>
                <w:szCs w:val="20"/>
                <w:lang w:eastAsia="en-IN"/>
              </w:rPr>
            </w:pPr>
            <w:r w:rsidRPr="00212F2E">
              <w:rPr>
                <w:rFonts w:ascii="Bookman Old Style" w:hAnsi="Bookman Old Style"/>
                <w:b/>
                <w:bCs/>
                <w:sz w:val="20"/>
                <w:szCs w:val="20"/>
                <w:lang w:eastAsia="en-IN"/>
              </w:rPr>
              <w:t>Debt</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center"/>
              <w:rPr>
                <w:rFonts w:ascii="Bookman Old Style" w:hAnsi="Bookman Old Style"/>
                <w:b/>
                <w:bCs/>
                <w:sz w:val="20"/>
                <w:szCs w:val="20"/>
                <w:lang w:eastAsia="en-IN"/>
              </w:rPr>
            </w:pPr>
            <w:r w:rsidRPr="00212F2E">
              <w:rPr>
                <w:rFonts w:ascii="Bookman Old Style" w:hAnsi="Bookman Old Style"/>
                <w:b/>
                <w:bCs/>
                <w:sz w:val="20"/>
                <w:szCs w:val="20"/>
                <w:lang w:eastAsia="en-IN"/>
              </w:rPr>
              <w:t>Equity</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381ACE" w:rsidRPr="00212F2E" w:rsidRDefault="00381ACE" w:rsidP="00980959">
            <w:pPr>
              <w:spacing w:after="0" w:line="240" w:lineRule="auto"/>
              <w:ind w:right="67"/>
              <w:jc w:val="center"/>
              <w:rPr>
                <w:rFonts w:ascii="Bookman Old Style" w:hAnsi="Bookman Old Style"/>
                <w:b/>
                <w:bCs/>
                <w:sz w:val="20"/>
                <w:szCs w:val="20"/>
                <w:lang w:eastAsia="en-IN"/>
              </w:rPr>
            </w:pPr>
            <w:r w:rsidRPr="00212F2E">
              <w:rPr>
                <w:rFonts w:ascii="Bookman Old Style" w:hAnsi="Bookman Old Style"/>
                <w:b/>
                <w:bCs/>
                <w:sz w:val="20"/>
                <w:szCs w:val="20"/>
                <w:lang w:eastAsia="en-IN"/>
              </w:rPr>
              <w:t>Normative Debt@70% of GFA</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381ACE" w:rsidRPr="00212F2E" w:rsidRDefault="00381ACE" w:rsidP="00980959">
            <w:pPr>
              <w:spacing w:after="0" w:line="240" w:lineRule="auto"/>
              <w:ind w:right="67"/>
              <w:jc w:val="center"/>
              <w:rPr>
                <w:rFonts w:ascii="Bookman Old Style" w:hAnsi="Bookman Old Style"/>
                <w:b/>
                <w:bCs/>
                <w:sz w:val="20"/>
                <w:szCs w:val="20"/>
                <w:lang w:eastAsia="en-IN"/>
              </w:rPr>
            </w:pPr>
            <w:r w:rsidRPr="00212F2E">
              <w:rPr>
                <w:rFonts w:ascii="Bookman Old Style" w:hAnsi="Bookman Old Style"/>
                <w:b/>
                <w:bCs/>
                <w:sz w:val="20"/>
                <w:szCs w:val="20"/>
                <w:lang w:eastAsia="en-IN"/>
              </w:rPr>
              <w:t>Normative Equity@30% of GFA</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381ACE" w:rsidRPr="00212F2E" w:rsidRDefault="00381ACE" w:rsidP="00980959">
            <w:pPr>
              <w:spacing w:after="0" w:line="240" w:lineRule="auto"/>
              <w:ind w:right="67"/>
              <w:jc w:val="center"/>
              <w:rPr>
                <w:rFonts w:ascii="Bookman Old Style" w:hAnsi="Bookman Old Style"/>
                <w:b/>
                <w:bCs/>
                <w:sz w:val="20"/>
                <w:szCs w:val="20"/>
                <w:lang w:eastAsia="en-IN"/>
              </w:rPr>
            </w:pPr>
            <w:r w:rsidRPr="00212F2E">
              <w:rPr>
                <w:rFonts w:ascii="Bookman Old Style" w:hAnsi="Bookman Old Style"/>
                <w:b/>
                <w:bCs/>
                <w:sz w:val="20"/>
                <w:szCs w:val="20"/>
                <w:lang w:eastAsia="en-IN"/>
              </w:rPr>
              <w:t>%age of actual debt on GFA</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81ACE" w:rsidRPr="00212F2E" w:rsidRDefault="00381ACE" w:rsidP="00980959">
            <w:pPr>
              <w:spacing w:after="0" w:line="240" w:lineRule="auto"/>
              <w:ind w:right="67"/>
              <w:jc w:val="center"/>
              <w:rPr>
                <w:rFonts w:ascii="Bookman Old Style" w:hAnsi="Bookman Old Style"/>
                <w:b/>
                <w:bCs/>
                <w:sz w:val="20"/>
                <w:szCs w:val="20"/>
                <w:lang w:eastAsia="en-IN"/>
              </w:rPr>
            </w:pPr>
            <w:r w:rsidRPr="00212F2E">
              <w:rPr>
                <w:rFonts w:ascii="Bookman Old Style" w:hAnsi="Bookman Old Style"/>
                <w:b/>
                <w:bCs/>
                <w:sz w:val="20"/>
                <w:szCs w:val="20"/>
                <w:lang w:eastAsia="en-IN"/>
              </w:rPr>
              <w:t>%age of actual Equity on GFA</w:t>
            </w:r>
          </w:p>
        </w:tc>
      </w:tr>
      <w:tr w:rsidR="00381ACE" w:rsidRPr="00212F2E" w:rsidTr="00BB7048">
        <w:trPr>
          <w:trHeight w:val="226"/>
        </w:trPr>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center"/>
              <w:rPr>
                <w:rFonts w:ascii="Bookman Old Style" w:hAnsi="Bookman Old Style"/>
                <w:b/>
                <w:bCs/>
                <w:sz w:val="20"/>
                <w:szCs w:val="20"/>
                <w:lang w:eastAsia="en-IN"/>
              </w:rPr>
            </w:pPr>
            <w:r w:rsidRPr="00212F2E">
              <w:rPr>
                <w:rFonts w:ascii="Bookman Old Style" w:hAnsi="Bookman Old Style"/>
                <w:b/>
                <w:bCs/>
                <w:sz w:val="20"/>
                <w:szCs w:val="20"/>
                <w:lang w:eastAsia="en-IN"/>
              </w:rPr>
              <w:t>Opening Balance</w:t>
            </w:r>
          </w:p>
        </w:tc>
        <w:tc>
          <w:tcPr>
            <w:tcW w:w="1216" w:type="dxa"/>
            <w:tcBorders>
              <w:top w:val="nil"/>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right"/>
              <w:rPr>
                <w:rFonts w:ascii="Bookman Old Style" w:hAnsi="Bookman Old Style"/>
                <w:sz w:val="20"/>
                <w:szCs w:val="20"/>
                <w:lang w:eastAsia="en-IN"/>
              </w:rPr>
            </w:pPr>
            <w:r w:rsidRPr="00212F2E">
              <w:rPr>
                <w:rFonts w:ascii="Bookman Old Style" w:hAnsi="Bookman Old Style"/>
                <w:sz w:val="20"/>
                <w:szCs w:val="20"/>
                <w:lang w:eastAsia="en-IN"/>
              </w:rPr>
              <w:t>14776.14</w:t>
            </w:r>
          </w:p>
        </w:tc>
        <w:tc>
          <w:tcPr>
            <w:tcW w:w="1156" w:type="dxa"/>
            <w:tcBorders>
              <w:top w:val="nil"/>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right"/>
              <w:rPr>
                <w:rFonts w:ascii="Bookman Old Style" w:hAnsi="Bookman Old Style"/>
                <w:sz w:val="20"/>
                <w:szCs w:val="20"/>
                <w:lang w:eastAsia="en-IN"/>
              </w:rPr>
            </w:pPr>
            <w:r w:rsidRPr="00212F2E">
              <w:rPr>
                <w:rFonts w:ascii="Bookman Old Style" w:hAnsi="Bookman Old Style"/>
                <w:sz w:val="20"/>
                <w:szCs w:val="20"/>
                <w:lang w:eastAsia="en-IN"/>
              </w:rPr>
              <w:t>4,356.17</w:t>
            </w:r>
          </w:p>
        </w:tc>
        <w:tc>
          <w:tcPr>
            <w:tcW w:w="972" w:type="dxa"/>
            <w:tcBorders>
              <w:top w:val="nil"/>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right"/>
              <w:rPr>
                <w:rFonts w:ascii="Bookman Old Style" w:hAnsi="Bookman Old Style"/>
                <w:sz w:val="20"/>
                <w:szCs w:val="20"/>
                <w:lang w:eastAsia="en-IN"/>
              </w:rPr>
            </w:pPr>
            <w:r w:rsidRPr="00212F2E">
              <w:rPr>
                <w:rFonts w:ascii="Bookman Old Style" w:hAnsi="Bookman Old Style"/>
                <w:sz w:val="20"/>
                <w:szCs w:val="20"/>
                <w:lang w:eastAsia="en-IN"/>
              </w:rPr>
              <w:t>546.92</w:t>
            </w:r>
          </w:p>
        </w:tc>
        <w:tc>
          <w:tcPr>
            <w:tcW w:w="1383" w:type="dxa"/>
            <w:tcBorders>
              <w:top w:val="nil"/>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right"/>
              <w:rPr>
                <w:rFonts w:ascii="Bookman Old Style" w:hAnsi="Bookman Old Style"/>
                <w:sz w:val="20"/>
                <w:szCs w:val="20"/>
                <w:lang w:eastAsia="en-IN"/>
              </w:rPr>
            </w:pPr>
            <w:r w:rsidRPr="00212F2E">
              <w:rPr>
                <w:rFonts w:ascii="Bookman Old Style" w:hAnsi="Bookman Old Style"/>
                <w:sz w:val="20"/>
                <w:szCs w:val="20"/>
                <w:lang w:eastAsia="en-IN"/>
              </w:rPr>
              <w:t>10343.3</w:t>
            </w:r>
          </w:p>
        </w:tc>
        <w:tc>
          <w:tcPr>
            <w:tcW w:w="1478" w:type="dxa"/>
            <w:tcBorders>
              <w:top w:val="nil"/>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right"/>
              <w:rPr>
                <w:rFonts w:ascii="Bookman Old Style" w:hAnsi="Bookman Old Style"/>
                <w:sz w:val="20"/>
                <w:szCs w:val="20"/>
                <w:lang w:eastAsia="en-IN"/>
              </w:rPr>
            </w:pPr>
            <w:r w:rsidRPr="00212F2E">
              <w:rPr>
                <w:rFonts w:ascii="Bookman Old Style" w:hAnsi="Bookman Old Style"/>
                <w:sz w:val="20"/>
                <w:szCs w:val="20"/>
                <w:lang w:eastAsia="en-IN"/>
              </w:rPr>
              <w:t>4432.8</w:t>
            </w:r>
          </w:p>
        </w:tc>
        <w:tc>
          <w:tcPr>
            <w:tcW w:w="1161" w:type="dxa"/>
            <w:tcBorders>
              <w:top w:val="nil"/>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right"/>
              <w:rPr>
                <w:rFonts w:ascii="Bookman Old Style" w:hAnsi="Bookman Old Style"/>
                <w:sz w:val="20"/>
                <w:szCs w:val="20"/>
                <w:lang w:eastAsia="en-IN"/>
              </w:rPr>
            </w:pPr>
            <w:r w:rsidRPr="00212F2E">
              <w:rPr>
                <w:rFonts w:ascii="Bookman Old Style" w:hAnsi="Bookman Old Style"/>
                <w:sz w:val="20"/>
                <w:szCs w:val="20"/>
                <w:lang w:eastAsia="en-IN"/>
              </w:rPr>
              <w:t>29.48%</w:t>
            </w:r>
          </w:p>
        </w:tc>
        <w:tc>
          <w:tcPr>
            <w:tcW w:w="1233" w:type="dxa"/>
            <w:tcBorders>
              <w:top w:val="nil"/>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right"/>
              <w:rPr>
                <w:rFonts w:ascii="Bookman Old Style" w:hAnsi="Bookman Old Style"/>
                <w:sz w:val="20"/>
                <w:szCs w:val="20"/>
                <w:lang w:eastAsia="en-IN"/>
              </w:rPr>
            </w:pPr>
            <w:r w:rsidRPr="00212F2E">
              <w:rPr>
                <w:rFonts w:ascii="Bookman Old Style" w:hAnsi="Bookman Old Style"/>
                <w:sz w:val="20"/>
                <w:szCs w:val="20"/>
                <w:lang w:eastAsia="en-IN"/>
              </w:rPr>
              <w:t>3.70%</w:t>
            </w:r>
          </w:p>
        </w:tc>
      </w:tr>
      <w:tr w:rsidR="00381ACE" w:rsidRPr="00212F2E" w:rsidTr="00BB7048">
        <w:trPr>
          <w:trHeight w:val="226"/>
        </w:trPr>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center"/>
              <w:rPr>
                <w:rFonts w:ascii="Bookman Old Style" w:hAnsi="Bookman Old Style"/>
                <w:b/>
                <w:bCs/>
                <w:sz w:val="20"/>
                <w:szCs w:val="20"/>
                <w:lang w:eastAsia="en-IN"/>
              </w:rPr>
            </w:pPr>
            <w:r w:rsidRPr="00212F2E">
              <w:rPr>
                <w:rFonts w:ascii="Bookman Old Style" w:hAnsi="Bookman Old Style"/>
                <w:b/>
                <w:bCs/>
                <w:sz w:val="20"/>
                <w:szCs w:val="20"/>
                <w:lang w:eastAsia="en-IN"/>
              </w:rPr>
              <w:t>Closing Balance</w:t>
            </w:r>
          </w:p>
        </w:tc>
        <w:tc>
          <w:tcPr>
            <w:tcW w:w="1216" w:type="dxa"/>
            <w:tcBorders>
              <w:top w:val="nil"/>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right"/>
              <w:rPr>
                <w:rFonts w:ascii="Bookman Old Style" w:hAnsi="Bookman Old Style"/>
                <w:sz w:val="20"/>
                <w:szCs w:val="20"/>
                <w:lang w:eastAsia="en-IN"/>
              </w:rPr>
            </w:pPr>
            <w:r w:rsidRPr="00212F2E">
              <w:rPr>
                <w:rFonts w:ascii="Bookman Old Style" w:hAnsi="Bookman Old Style"/>
                <w:sz w:val="20"/>
                <w:szCs w:val="20"/>
                <w:lang w:eastAsia="en-IN"/>
              </w:rPr>
              <w:t>12122.34</w:t>
            </w:r>
          </w:p>
        </w:tc>
        <w:tc>
          <w:tcPr>
            <w:tcW w:w="1156" w:type="dxa"/>
            <w:tcBorders>
              <w:top w:val="nil"/>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right"/>
              <w:rPr>
                <w:rFonts w:ascii="Bookman Old Style" w:hAnsi="Bookman Old Style"/>
                <w:sz w:val="20"/>
                <w:szCs w:val="20"/>
                <w:lang w:eastAsia="en-IN"/>
              </w:rPr>
            </w:pPr>
            <w:r w:rsidRPr="00212F2E">
              <w:rPr>
                <w:rFonts w:ascii="Bookman Old Style" w:hAnsi="Bookman Old Style"/>
                <w:sz w:val="20"/>
                <w:szCs w:val="20"/>
                <w:lang w:eastAsia="en-IN"/>
              </w:rPr>
              <w:t>3,753.07</w:t>
            </w:r>
          </w:p>
        </w:tc>
        <w:tc>
          <w:tcPr>
            <w:tcW w:w="972" w:type="dxa"/>
            <w:tcBorders>
              <w:top w:val="nil"/>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right"/>
              <w:rPr>
                <w:rFonts w:ascii="Bookman Old Style" w:hAnsi="Bookman Old Style"/>
                <w:sz w:val="20"/>
                <w:szCs w:val="20"/>
                <w:lang w:eastAsia="en-IN"/>
              </w:rPr>
            </w:pPr>
            <w:r w:rsidRPr="00212F2E">
              <w:rPr>
                <w:rFonts w:ascii="Bookman Old Style" w:hAnsi="Bookman Old Style"/>
                <w:sz w:val="20"/>
                <w:szCs w:val="20"/>
                <w:lang w:eastAsia="en-IN"/>
              </w:rPr>
              <w:t>925.87</w:t>
            </w:r>
          </w:p>
        </w:tc>
        <w:tc>
          <w:tcPr>
            <w:tcW w:w="1383" w:type="dxa"/>
            <w:tcBorders>
              <w:top w:val="nil"/>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right"/>
              <w:rPr>
                <w:rFonts w:ascii="Bookman Old Style" w:hAnsi="Bookman Old Style"/>
                <w:sz w:val="20"/>
                <w:szCs w:val="20"/>
                <w:lang w:eastAsia="en-IN"/>
              </w:rPr>
            </w:pPr>
            <w:r w:rsidRPr="00212F2E">
              <w:rPr>
                <w:rFonts w:ascii="Bookman Old Style" w:hAnsi="Bookman Old Style"/>
                <w:sz w:val="20"/>
                <w:szCs w:val="20"/>
                <w:lang w:eastAsia="en-IN"/>
              </w:rPr>
              <w:t>8485.6</w:t>
            </w:r>
          </w:p>
        </w:tc>
        <w:tc>
          <w:tcPr>
            <w:tcW w:w="1478" w:type="dxa"/>
            <w:tcBorders>
              <w:top w:val="nil"/>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right"/>
              <w:rPr>
                <w:rFonts w:ascii="Bookman Old Style" w:hAnsi="Bookman Old Style"/>
                <w:sz w:val="20"/>
                <w:szCs w:val="20"/>
                <w:lang w:eastAsia="en-IN"/>
              </w:rPr>
            </w:pPr>
            <w:r w:rsidRPr="00212F2E">
              <w:rPr>
                <w:rFonts w:ascii="Bookman Old Style" w:hAnsi="Bookman Old Style"/>
                <w:sz w:val="20"/>
                <w:szCs w:val="20"/>
                <w:lang w:eastAsia="en-IN"/>
              </w:rPr>
              <w:t>3636.7</w:t>
            </w:r>
          </w:p>
        </w:tc>
        <w:tc>
          <w:tcPr>
            <w:tcW w:w="1161" w:type="dxa"/>
            <w:tcBorders>
              <w:top w:val="nil"/>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right"/>
              <w:rPr>
                <w:rFonts w:ascii="Bookman Old Style" w:hAnsi="Bookman Old Style"/>
                <w:sz w:val="20"/>
                <w:szCs w:val="20"/>
                <w:lang w:eastAsia="en-IN"/>
              </w:rPr>
            </w:pPr>
            <w:r w:rsidRPr="00212F2E">
              <w:rPr>
                <w:rFonts w:ascii="Bookman Old Style" w:hAnsi="Bookman Old Style"/>
                <w:sz w:val="20"/>
                <w:szCs w:val="20"/>
                <w:lang w:eastAsia="en-IN"/>
              </w:rPr>
              <w:t>30.96%</w:t>
            </w:r>
          </w:p>
        </w:tc>
        <w:tc>
          <w:tcPr>
            <w:tcW w:w="1233" w:type="dxa"/>
            <w:tcBorders>
              <w:top w:val="nil"/>
              <w:left w:val="nil"/>
              <w:bottom w:val="single" w:sz="4" w:space="0" w:color="auto"/>
              <w:right w:val="single" w:sz="4" w:space="0" w:color="auto"/>
            </w:tcBorders>
            <w:shd w:val="clear" w:color="auto" w:fill="auto"/>
            <w:noWrap/>
            <w:vAlign w:val="center"/>
            <w:hideMark/>
          </w:tcPr>
          <w:p w:rsidR="00381ACE" w:rsidRPr="00212F2E" w:rsidRDefault="00381ACE" w:rsidP="00980959">
            <w:pPr>
              <w:spacing w:after="0" w:line="240" w:lineRule="auto"/>
              <w:ind w:right="67"/>
              <w:jc w:val="right"/>
              <w:rPr>
                <w:rFonts w:ascii="Bookman Old Style" w:hAnsi="Bookman Old Style"/>
                <w:sz w:val="20"/>
                <w:szCs w:val="20"/>
                <w:lang w:eastAsia="en-IN"/>
              </w:rPr>
            </w:pPr>
            <w:r w:rsidRPr="00212F2E">
              <w:rPr>
                <w:rFonts w:ascii="Bookman Old Style" w:hAnsi="Bookman Old Style"/>
                <w:sz w:val="20"/>
                <w:szCs w:val="20"/>
                <w:lang w:eastAsia="en-IN"/>
              </w:rPr>
              <w:t>7.64%</w:t>
            </w:r>
          </w:p>
        </w:tc>
      </w:tr>
    </w:tbl>
    <w:p w:rsidR="00381ACE" w:rsidRDefault="00381ACE" w:rsidP="00717D3E">
      <w:pPr>
        <w:widowControl w:val="0"/>
        <w:spacing w:line="360" w:lineRule="auto"/>
        <w:ind w:right="67"/>
        <w:jc w:val="both"/>
        <w:rPr>
          <w:rFonts w:ascii="Times New Roman" w:hAnsi="Times New Roman"/>
          <w:b/>
          <w:bCs/>
          <w:sz w:val="24"/>
          <w:szCs w:val="24"/>
          <w:lang w:eastAsia="en-IN"/>
        </w:rPr>
      </w:pPr>
    </w:p>
    <w:p w:rsidR="00381ACE" w:rsidRPr="003863B7" w:rsidRDefault="00381ACE" w:rsidP="00717D3E">
      <w:pPr>
        <w:spacing w:line="360" w:lineRule="auto"/>
        <w:ind w:right="67"/>
        <w:jc w:val="both"/>
        <w:rPr>
          <w:rFonts w:ascii="Bookman Old Style" w:eastAsia="Century Gothic" w:hAnsi="Bookman Old Style" w:cs="Century Gothic"/>
          <w:color w:val="F2F2F2" w:themeColor="background1" w:themeShade="F2"/>
        </w:rPr>
      </w:pPr>
      <w:r w:rsidRPr="000C4C98">
        <w:rPr>
          <w:rFonts w:ascii="Bookman Old Style" w:eastAsia="Century Gothic" w:hAnsi="Bookman Old Style" w:cs="Century Gothic"/>
          <w:color w:val="000000" w:themeColor="text1"/>
        </w:rPr>
        <w:t>From the above table, the percentage of debt to gross fixed asset is within the norms framed by the Commission under MYT Regulations</w:t>
      </w:r>
      <w:r w:rsidRPr="003863B7">
        <w:rPr>
          <w:rFonts w:ascii="Bookman Old Style" w:eastAsia="Century Gothic" w:hAnsi="Bookman Old Style" w:cs="Century Gothic"/>
          <w:color w:val="F2F2F2" w:themeColor="background1" w:themeShade="F2"/>
        </w:rPr>
        <w:t>.</w:t>
      </w:r>
    </w:p>
    <w:p w:rsidR="00381ACE" w:rsidRPr="000C4C98" w:rsidRDefault="00381ACE" w:rsidP="00717D3E">
      <w:pPr>
        <w:ind w:right="67"/>
        <w:jc w:val="both"/>
        <w:rPr>
          <w:rFonts w:ascii="Bookman Old Style" w:hAnsi="Bookman Old Style"/>
          <w:b/>
          <w:color w:val="000000" w:themeColor="text1"/>
          <w:sz w:val="24"/>
        </w:rPr>
      </w:pPr>
      <w:r w:rsidRPr="000C4C98">
        <w:rPr>
          <w:rFonts w:ascii="Bookman Old Style" w:hAnsi="Bookman Old Style"/>
          <w:b/>
          <w:color w:val="000000" w:themeColor="text1"/>
          <w:sz w:val="24"/>
        </w:rPr>
        <w:t>Disallowance on ATE Appeal No. 46/2014: Deduction of Rs. 100/- cr. for computation of equity.</w:t>
      </w:r>
    </w:p>
    <w:p w:rsidR="00381ACE" w:rsidRPr="003863B7" w:rsidRDefault="00381ACE" w:rsidP="00717D3E">
      <w:pPr>
        <w:pStyle w:val="BodyText"/>
        <w:ind w:right="67"/>
        <w:rPr>
          <w:rFonts w:ascii="Bookman Old Style" w:hAnsi="Bookman Old Style" w:cs="Century Gothic"/>
          <w:bCs/>
          <w:color w:val="F2F2F2" w:themeColor="background1" w:themeShade="F2"/>
        </w:rPr>
      </w:pPr>
    </w:p>
    <w:p w:rsidR="00381ACE" w:rsidRPr="000C4C98" w:rsidRDefault="00381ACE" w:rsidP="00717D3E">
      <w:pPr>
        <w:spacing w:line="360" w:lineRule="auto"/>
        <w:ind w:right="67"/>
        <w:jc w:val="both"/>
        <w:rPr>
          <w:rFonts w:ascii="Bookman Old Style" w:eastAsia="Century Gothic" w:hAnsi="Bookman Old Style" w:cs="Century Gothic"/>
          <w:color w:val="000000" w:themeColor="text1"/>
        </w:rPr>
      </w:pPr>
      <w:r w:rsidRPr="000C4C98">
        <w:rPr>
          <w:rFonts w:ascii="Bookman Old Style" w:eastAsia="Century Gothic" w:hAnsi="Bookman Old Style" w:cs="Century Gothic"/>
          <w:color w:val="000000" w:themeColor="text1"/>
        </w:rPr>
        <w:t>The Commission is deducting Rs. 100 Cr. from the equity for computation of equity by referring the Hon’ble</w:t>
      </w:r>
      <w:r w:rsidR="004F1177">
        <w:rPr>
          <w:rFonts w:ascii="Bookman Old Style" w:eastAsia="Century Gothic" w:hAnsi="Bookman Old Style" w:cs="Century Gothic"/>
          <w:color w:val="000000" w:themeColor="text1"/>
        </w:rPr>
        <w:t xml:space="preserve"> </w:t>
      </w:r>
      <w:r w:rsidRPr="000C4C98">
        <w:rPr>
          <w:rFonts w:ascii="Bookman Old Style" w:eastAsia="Century Gothic" w:hAnsi="Bookman Old Style" w:cs="Century Gothic"/>
          <w:color w:val="000000" w:themeColor="text1"/>
        </w:rPr>
        <w:t>Tribunal  order in Appeal No. 46/2014 dated 17th Sept 2014 Dr. Subrahmanya</w:t>
      </w:r>
      <w:r w:rsidR="004F1177">
        <w:rPr>
          <w:rFonts w:ascii="Bookman Old Style" w:eastAsia="Century Gothic" w:hAnsi="Bookman Old Style" w:cs="Century Gothic"/>
          <w:color w:val="000000" w:themeColor="text1"/>
        </w:rPr>
        <w:t xml:space="preserve"> </w:t>
      </w:r>
      <w:r w:rsidRPr="000C4C98">
        <w:rPr>
          <w:rFonts w:ascii="Bookman Old Style" w:eastAsia="Century Gothic" w:hAnsi="Bookman Old Style" w:cs="Century Gothic"/>
          <w:color w:val="000000" w:themeColor="text1"/>
        </w:rPr>
        <w:t>Bhat, S/O Dr. Bheema</w:t>
      </w:r>
      <w:r w:rsidR="004F1177">
        <w:rPr>
          <w:rFonts w:ascii="Bookman Old Style" w:eastAsia="Century Gothic" w:hAnsi="Bookman Old Style" w:cs="Century Gothic"/>
          <w:color w:val="000000" w:themeColor="text1"/>
        </w:rPr>
        <w:t xml:space="preserve"> </w:t>
      </w:r>
      <w:r w:rsidRPr="000C4C98">
        <w:rPr>
          <w:rFonts w:ascii="Bookman Old Style" w:eastAsia="Century Gothic" w:hAnsi="Bookman Old Style" w:cs="Century Gothic"/>
          <w:color w:val="000000" w:themeColor="text1"/>
        </w:rPr>
        <w:t>Bhat, Residing at Hegdekodi, Veerakambha</w:t>
      </w:r>
      <w:r w:rsidR="004F1177">
        <w:rPr>
          <w:rFonts w:ascii="Bookman Old Style" w:eastAsia="Century Gothic" w:hAnsi="Bookman Old Style" w:cs="Century Gothic"/>
          <w:color w:val="000000" w:themeColor="text1"/>
        </w:rPr>
        <w:t xml:space="preserve"> </w:t>
      </w:r>
      <w:r w:rsidRPr="000C4C98">
        <w:rPr>
          <w:rFonts w:ascii="Bookman Old Style" w:eastAsia="Century Gothic" w:hAnsi="Bookman Old Style" w:cs="Century Gothic"/>
          <w:color w:val="000000" w:themeColor="text1"/>
        </w:rPr>
        <w:t>Village, Bantval</w:t>
      </w:r>
      <w:r w:rsidR="004F1177">
        <w:rPr>
          <w:rFonts w:ascii="Bookman Old Style" w:eastAsia="Century Gothic" w:hAnsi="Bookman Old Style" w:cs="Century Gothic"/>
          <w:color w:val="000000" w:themeColor="text1"/>
        </w:rPr>
        <w:t xml:space="preserve"> </w:t>
      </w:r>
      <w:r w:rsidRPr="000C4C98">
        <w:rPr>
          <w:rFonts w:ascii="Bookman Old Style" w:eastAsia="Century Gothic" w:hAnsi="Bookman Old Style" w:cs="Century Gothic"/>
          <w:color w:val="000000" w:themeColor="text1"/>
        </w:rPr>
        <w:t>Taluk, Post-Kodapadavu-574 222 Karnataka State Versus KERC and MESCOM.</w:t>
      </w:r>
    </w:p>
    <w:p w:rsidR="00381ACE" w:rsidRPr="000C4C98" w:rsidRDefault="00381ACE" w:rsidP="00717D3E">
      <w:pPr>
        <w:spacing w:line="360" w:lineRule="auto"/>
        <w:ind w:right="67"/>
        <w:jc w:val="both"/>
        <w:rPr>
          <w:rFonts w:ascii="Bookman Old Style" w:eastAsia="Century Gothic" w:hAnsi="Bookman Old Style" w:cs="Century Gothic"/>
          <w:color w:val="000000" w:themeColor="text1"/>
        </w:rPr>
      </w:pPr>
      <w:r w:rsidRPr="000C4C98">
        <w:rPr>
          <w:rFonts w:ascii="Bookman Old Style" w:hAnsi="Bookman Old Style"/>
          <w:color w:val="000000" w:themeColor="text1"/>
        </w:rPr>
        <w:t>The extract of the findings of the Tribunal Order on this issue i</w:t>
      </w:r>
      <w:r w:rsidRPr="000C4C98">
        <w:rPr>
          <w:rFonts w:ascii="Bookman Old Style" w:eastAsia="Century Gothic" w:hAnsi="Bookman Old Style" w:cs="Century Gothic"/>
          <w:color w:val="000000" w:themeColor="text1"/>
        </w:rPr>
        <w:t>s reiterated as under and emphasis is made by underling the word for better explanation:</w:t>
      </w: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rPr>
      </w:pPr>
      <w:r w:rsidRPr="000C4C98">
        <w:rPr>
          <w:rFonts w:ascii="Bookman Old Style" w:eastAsia="Century Gothic" w:hAnsi="Bookman Old Style" w:cs="Century Gothic"/>
          <w:i/>
          <w:color w:val="000000" w:themeColor="text1"/>
        </w:rPr>
        <w:t xml:space="preserve">“The Fifth Issue is relating to the Computation of Return on Equity. </w:t>
      </w:r>
    </w:p>
    <w:p w:rsidR="00381ACE" w:rsidRPr="000C4C98" w:rsidRDefault="00381ACE" w:rsidP="004F1177">
      <w:pPr>
        <w:spacing w:line="360" w:lineRule="auto"/>
        <w:ind w:left="567" w:right="634"/>
        <w:jc w:val="both"/>
        <w:rPr>
          <w:rFonts w:ascii="Bookman Old Style" w:eastAsia="Century Gothic" w:hAnsi="Bookman Old Style" w:cs="Century Gothic"/>
          <w:color w:val="000000" w:themeColor="text1"/>
          <w:sz w:val="20"/>
        </w:rPr>
      </w:pPr>
      <w:r w:rsidRPr="000C4C98">
        <w:rPr>
          <w:rFonts w:ascii="Bookman Old Style" w:eastAsia="Century Gothic" w:hAnsi="Bookman Old Style" w:cs="Century Gothic"/>
          <w:i/>
          <w:color w:val="000000" w:themeColor="text1"/>
          <w:sz w:val="20"/>
        </w:rPr>
        <w:t xml:space="preserve">44. According to the Appellant, </w:t>
      </w:r>
      <w:r w:rsidRPr="000C4C98">
        <w:rPr>
          <w:rFonts w:ascii="Bookman Old Style" w:eastAsia="Century Gothic" w:hAnsi="Bookman Old Style" w:cs="Century Gothic"/>
          <w:i/>
          <w:color w:val="000000" w:themeColor="text1"/>
          <w:sz w:val="20"/>
          <w:u w:val="single"/>
        </w:rPr>
        <w:t>the State Commission has ignored the fact of capitalization of consumer security despot amounting to Rs.49.03 Crores for the purpose of calculating ROE</w:t>
      </w:r>
      <w:r w:rsidRPr="000C4C98">
        <w:rPr>
          <w:rFonts w:ascii="Bookman Old Style" w:eastAsia="Century Gothic" w:hAnsi="Bookman Old Style" w:cs="Century Gothic"/>
          <w:i/>
          <w:color w:val="000000" w:themeColor="text1"/>
          <w:sz w:val="20"/>
        </w:rPr>
        <w:t xml:space="preserve"> for the Respondent No.2.  The Respondent No.2 is claiming ROE on the same and the interest on the consumer security is passed through in the APR as well.  The State Commission should have disallowed ROR on the said amount of Rs.49.03 Crore. </w:t>
      </w: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20"/>
        </w:rPr>
      </w:pPr>
      <w:r w:rsidRPr="000C4C98">
        <w:rPr>
          <w:rFonts w:ascii="Bookman Old Style" w:eastAsia="Century Gothic" w:hAnsi="Bookman Old Style" w:cs="Century Gothic"/>
          <w:i/>
          <w:color w:val="000000" w:themeColor="text1"/>
          <w:sz w:val="20"/>
        </w:rPr>
        <w:t xml:space="preserve">45. According to the learned Counsel for the State Commission, this issue is covered by the judgment dated 2.1.2013 of this Tribunal in Appeal No.108 of 2010.  According to the learned Counsel for the MESCOM (R-2), the consumer’s deposit was capitalized as per the Government Order dated 31.5.2003 and they are claiming </w:t>
      </w:r>
      <w:r w:rsidRPr="000C4C98">
        <w:rPr>
          <w:rFonts w:ascii="Bookman Old Style" w:eastAsia="Century Gothic" w:hAnsi="Bookman Old Style" w:cs="Century Gothic"/>
          <w:i/>
          <w:color w:val="000000" w:themeColor="text1"/>
          <w:sz w:val="20"/>
        </w:rPr>
        <w:lastRenderedPageBreak/>
        <w:t xml:space="preserve">interest paid on consumer security deposit as pass through and also ROE strictly in accordance with the provisions of the MYT </w:t>
      </w:r>
      <w:r w:rsidR="002D0D27" w:rsidRPr="000C4C98">
        <w:rPr>
          <w:rFonts w:ascii="Bookman Old Style" w:eastAsia="Century Gothic" w:hAnsi="Bookman Old Style" w:cs="Century Gothic"/>
          <w:i/>
          <w:color w:val="000000" w:themeColor="text1"/>
          <w:sz w:val="20"/>
        </w:rPr>
        <w:t>Regualtions and</w:t>
      </w:r>
      <w:r w:rsidRPr="000C4C98">
        <w:rPr>
          <w:rFonts w:ascii="Bookman Old Style" w:eastAsia="Century Gothic" w:hAnsi="Bookman Old Style" w:cs="Century Gothic"/>
          <w:i/>
          <w:color w:val="000000" w:themeColor="text1"/>
          <w:sz w:val="20"/>
        </w:rPr>
        <w:t xml:space="preserve"> once the asset has been capitalized in the books, the ROE will accrue in such capitalized assets.  He has also relied on the decision of the Tribunal in Appeal No.108 of 2013. </w:t>
      </w: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20"/>
        </w:rPr>
      </w:pPr>
      <w:r w:rsidRPr="000C4C98">
        <w:rPr>
          <w:rFonts w:ascii="Bookman Old Style" w:eastAsia="Century Gothic" w:hAnsi="Bookman Old Style" w:cs="Century Gothic"/>
          <w:i/>
          <w:color w:val="000000" w:themeColor="text1"/>
          <w:sz w:val="20"/>
        </w:rPr>
        <w:t xml:space="preserve">46. Admittedly, </w:t>
      </w:r>
      <w:r w:rsidRPr="000C4C98">
        <w:rPr>
          <w:rFonts w:ascii="Bookman Old Style" w:eastAsia="Century Gothic" w:hAnsi="Bookman Old Style" w:cs="Century Gothic"/>
          <w:i/>
          <w:color w:val="000000" w:themeColor="text1"/>
          <w:sz w:val="20"/>
          <w:u w:val="single"/>
        </w:rPr>
        <w:t xml:space="preserve">the consumer security deposit has been capitalized pursuance to the State Govt order and the Respondent No.2 is claiming ROE on such capitalized sum.  We feel that the consumer security deposit is not a capital asset on which ROE can be claimed.  Even if the State Government has ordered capitalization of consumer security deposit and accordingly the balance sheet of the Distribution Companies has been drawn up with gross fixed assets including the consumer security deposit, the State Commission should have deducted the amount of consumer security deposit while allowing ROE on the equity component of the capital cost. </w:t>
      </w: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20"/>
        </w:rPr>
      </w:pPr>
      <w:r w:rsidRPr="000C4C98">
        <w:rPr>
          <w:rFonts w:ascii="Bookman Old Style" w:eastAsia="Century Gothic" w:hAnsi="Bookman Old Style" w:cs="Century Gothic"/>
          <w:i/>
          <w:color w:val="000000" w:themeColor="text1"/>
          <w:sz w:val="20"/>
        </w:rPr>
        <w:t xml:space="preserve">47. As already held by this Tribunal, </w:t>
      </w:r>
      <w:r w:rsidRPr="000C4C98">
        <w:rPr>
          <w:rFonts w:ascii="Bookman Old Style" w:eastAsia="Century Gothic" w:hAnsi="Bookman Old Style" w:cs="Century Gothic"/>
          <w:i/>
          <w:color w:val="000000" w:themeColor="text1"/>
          <w:sz w:val="20"/>
          <w:u w:val="single"/>
        </w:rPr>
        <w:t>the State Commission is not bound to follow the audited accounts and the State Commission can scrutinize the same and allow the expenditure only after prudence check.</w:t>
      </w:r>
      <w:r w:rsidRPr="000C4C98">
        <w:rPr>
          <w:rFonts w:ascii="Bookman Old Style" w:eastAsia="Century Gothic" w:hAnsi="Bookman Old Style" w:cs="Century Gothic"/>
          <w:i/>
          <w:color w:val="000000" w:themeColor="text1"/>
          <w:sz w:val="20"/>
        </w:rPr>
        <w:t xml:space="preserve"> By allowing ROE on consumer security deposit and also allowing interest paid by the Distribution Licensee to the consumers against consumer security deposit in the ARR of the Distribution Licensee, the consumer has been burdened unreasonably.  On one hand the Distribution Company has been allowed ROE on the security deposit which is contributed by the consumer and on the other hand the interest paid to the consumer on such deposit is also allowed as a pass through in the tariff to be recovered from the consumers.  This is wrong. </w:t>
      </w: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20"/>
        </w:rPr>
      </w:pPr>
      <w:r w:rsidRPr="000C4C98">
        <w:rPr>
          <w:rFonts w:ascii="Bookman Old Style" w:eastAsia="Century Gothic" w:hAnsi="Bookman Old Style" w:cs="Century Gothic"/>
          <w:i/>
          <w:color w:val="000000" w:themeColor="text1"/>
          <w:sz w:val="20"/>
        </w:rPr>
        <w:t xml:space="preserve">48. Hence, we find force in the arguments of the Appellant that ROE on consumer security deposit amount capitalized in the books of accounts of the Distribution Licensee should not have been allowed in the ARR of the Distribution Licensee.  Accordingly, we direct the State Commission to adjust the excess amount of ROE allowed in the Impugned Order from FY 2011-12 onwards in the APR/True up for these years to provide relief to the consumers. </w:t>
      </w: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20"/>
        </w:rPr>
      </w:pPr>
      <w:r w:rsidRPr="000C4C98">
        <w:rPr>
          <w:rFonts w:ascii="Bookman Old Style" w:eastAsia="Century Gothic" w:hAnsi="Bookman Old Style" w:cs="Century Gothic"/>
          <w:i/>
          <w:color w:val="000000" w:themeColor="text1"/>
          <w:sz w:val="20"/>
        </w:rPr>
        <w:t xml:space="preserve">49. The learned Counsel for the State Commission and the Respondent No.2 has argued that the issue is covered by the decision of this Tribunal in Appeal No.108 of 2010 as against the Appellant. We do not agree with the same. In the judgment dated 2.1.2013 in Appeal No.108 of 2010, this Tribunal did not go into the issue of inclusion of the consumer security deposit in the gross fixed assets of the Distribution Company and consequent allowance of ROE on the same being passed on in the ARR and retail supply tariff.  The Tribunal only noted the statement of the State Commission that the interest is being paid regularly to the consumers on the </w:t>
      </w:r>
      <w:r w:rsidRPr="000C4C98">
        <w:rPr>
          <w:rFonts w:ascii="Bookman Old Style" w:eastAsia="Century Gothic" w:hAnsi="Bookman Old Style" w:cs="Century Gothic"/>
          <w:i/>
          <w:color w:val="000000" w:themeColor="text1"/>
          <w:sz w:val="20"/>
        </w:rPr>
        <w:lastRenderedPageBreak/>
        <w:t xml:space="preserve">consumer’s deposit despite the capitalization of the security deposit and held that the issue has become in fructuous.  </w:t>
      </w: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20"/>
        </w:rPr>
      </w:pPr>
      <w:r w:rsidRPr="000C4C98">
        <w:rPr>
          <w:rFonts w:ascii="Bookman Old Style" w:eastAsia="Century Gothic" w:hAnsi="Bookman Old Style" w:cs="Century Gothic"/>
          <w:i/>
          <w:color w:val="000000" w:themeColor="text1"/>
          <w:sz w:val="20"/>
        </w:rPr>
        <w:t xml:space="preserve">50. Another issue raised by the Appellant is that the State Commission has violated the MYT Regulations in so far as ROR in APR as well as ARR are concerned and the State Commission has allowed ROE on the equity component (aggregate of equity and free reserve) without considering the debt equity ratio, as per the Regulations. </w:t>
      </w: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20"/>
        </w:rPr>
      </w:pPr>
      <w:r w:rsidRPr="000C4C98">
        <w:rPr>
          <w:rFonts w:ascii="Bookman Old Style" w:eastAsia="Century Gothic" w:hAnsi="Bookman Old Style" w:cs="Century Gothic"/>
          <w:i/>
          <w:color w:val="000000" w:themeColor="text1"/>
          <w:sz w:val="20"/>
        </w:rPr>
        <w:t xml:space="preserve">51. According to the learned Counsel for the State Commission, gross asset in FY 2011-12 is Rs.218 Crores and increase in equity is Rs.57.20 Crore which would show that component of equity was less than 30%. </w:t>
      </w: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20"/>
        </w:rPr>
      </w:pPr>
      <w:r w:rsidRPr="000C4C98">
        <w:rPr>
          <w:rFonts w:ascii="Bookman Old Style" w:eastAsia="Century Gothic" w:hAnsi="Bookman Old Style" w:cs="Century Gothic"/>
          <w:i/>
          <w:color w:val="000000" w:themeColor="text1"/>
          <w:sz w:val="20"/>
        </w:rPr>
        <w:t xml:space="preserve">52. We find that the State Commission has not shown the break-up of GFA into debt and equity component.  In the absence of the opening and closing GFA figures and corresponding </w:t>
      </w:r>
      <w:r w:rsidR="0035467F" w:rsidRPr="000C4C98">
        <w:rPr>
          <w:rFonts w:ascii="Bookman Old Style" w:eastAsia="Century Gothic" w:hAnsi="Bookman Old Style" w:cs="Century Gothic"/>
          <w:i/>
          <w:color w:val="000000" w:themeColor="text1"/>
          <w:sz w:val="20"/>
        </w:rPr>
        <w:t>debt and</w:t>
      </w:r>
      <w:r w:rsidRPr="000C4C98">
        <w:rPr>
          <w:rFonts w:ascii="Bookman Old Style" w:eastAsia="Century Gothic" w:hAnsi="Bookman Old Style" w:cs="Century Gothic"/>
          <w:i/>
          <w:color w:val="000000" w:themeColor="text1"/>
          <w:sz w:val="20"/>
        </w:rPr>
        <w:t xml:space="preserve"> equity components, we are not able to find whether the debt equity ratio and ROE has been allowed as per the Regulations.  The State Commission is directed to transparently show the opening and closing GFA along with break-up into equity and loan component in the tariff order henceforth</w:t>
      </w:r>
      <w:r w:rsidRPr="000C4C98">
        <w:rPr>
          <w:rFonts w:ascii="Bookman Old Style" w:eastAsia="Century Gothic" w:hAnsi="Bookman Old Style" w:cs="Century Gothic"/>
          <w:i/>
          <w:color w:val="000000" w:themeColor="text1"/>
          <w:sz w:val="20"/>
          <w:u w:val="single"/>
        </w:rPr>
        <w:t>.  The State Commission is also directed to consider the contentions of the Appellant while truing-up</w:t>
      </w:r>
      <w:r w:rsidRPr="000C4C98">
        <w:rPr>
          <w:rFonts w:ascii="Bookman Old Style" w:eastAsia="Century Gothic" w:hAnsi="Bookman Old Style" w:cs="Century Gothic"/>
          <w:i/>
          <w:color w:val="000000" w:themeColor="text1"/>
          <w:sz w:val="20"/>
        </w:rPr>
        <w:t xml:space="preserve"> the accounts for the FYs 2011-12 to 2014-15.  Accordingly, this issue is decided in favour of the Appellant.</w:t>
      </w:r>
    </w:p>
    <w:p w:rsidR="00381ACE" w:rsidRPr="000C4C98" w:rsidRDefault="00381ACE" w:rsidP="004F1177">
      <w:pPr>
        <w:pStyle w:val="BodyText"/>
        <w:ind w:left="567" w:right="634"/>
        <w:rPr>
          <w:rFonts w:ascii="Bookman Old Style" w:hAnsi="Bookman Old Style" w:cs="Century Gothic"/>
          <w:bCs/>
          <w:color w:val="000000" w:themeColor="text1"/>
        </w:rPr>
      </w:pPr>
    </w:p>
    <w:p w:rsidR="00381ACE" w:rsidRPr="000C4C98" w:rsidRDefault="00381ACE" w:rsidP="008B0A50">
      <w:pPr>
        <w:spacing w:line="360" w:lineRule="auto"/>
        <w:ind w:right="67"/>
        <w:jc w:val="both"/>
        <w:rPr>
          <w:rFonts w:ascii="Bookman Old Style" w:eastAsia="Century Gothic" w:hAnsi="Bookman Old Style" w:cs="Century Gothic"/>
          <w:color w:val="000000" w:themeColor="text1"/>
        </w:rPr>
      </w:pPr>
      <w:r w:rsidRPr="000C4C98">
        <w:rPr>
          <w:rFonts w:ascii="Bookman Old Style" w:eastAsia="Century Gothic" w:hAnsi="Bookman Old Style" w:cs="Century Gothic"/>
          <w:color w:val="000000" w:themeColor="text1"/>
        </w:rPr>
        <w:t xml:space="preserve">From the above Hon’ble Tribunal decided the issue that the Capitalized portion of Consumer security deposit shall be deducted while allowing ROE. The implied aspect in the same order is that the State Commission is not bound to follow the audited accounts and the State Commission can scrutinize the same and allow </w:t>
      </w:r>
    </w:p>
    <w:p w:rsidR="00381ACE" w:rsidRPr="000C4C98" w:rsidRDefault="00381ACE" w:rsidP="008B0A50">
      <w:pPr>
        <w:spacing w:line="360" w:lineRule="auto"/>
        <w:ind w:right="67"/>
        <w:jc w:val="both"/>
        <w:rPr>
          <w:rFonts w:ascii="Bookman Old Style" w:eastAsia="Century Gothic" w:hAnsi="Bookman Old Style" w:cs="Century Gothic"/>
          <w:color w:val="000000" w:themeColor="text1"/>
        </w:rPr>
      </w:pPr>
      <w:r w:rsidRPr="000C4C98">
        <w:rPr>
          <w:rFonts w:ascii="Bookman Old Style" w:eastAsia="Century Gothic" w:hAnsi="Bookman Old Style" w:cs="Century Gothic"/>
          <w:color w:val="000000" w:themeColor="text1"/>
        </w:rPr>
        <w:t>Commission’s kind attention is drawn to the Chapter No. 4 in on page NO.60 to 62 of the Tariff Order -2009 issued on 25th November 2009.  Commission noted the break up furnished by the BESCOM for capitalization Consumer Meter Security Deposit (Not consumer security deposit) and others.  Details in the said order are reiterated as under.</w:t>
      </w:r>
    </w:p>
    <w:p w:rsidR="00381ACE" w:rsidRPr="000C4C98" w:rsidRDefault="00381ACE" w:rsidP="004F1177">
      <w:pPr>
        <w:spacing w:line="240" w:lineRule="auto"/>
        <w:ind w:left="567" w:right="634"/>
        <w:jc w:val="both"/>
        <w:rPr>
          <w:rFonts w:ascii="Bookman Old Style" w:eastAsia="Century Gothic" w:hAnsi="Bookman Old Style" w:cs="Century Gothic"/>
          <w:b/>
          <w:i/>
          <w:color w:val="000000" w:themeColor="text1"/>
          <w:sz w:val="18"/>
          <w:szCs w:val="18"/>
        </w:rPr>
      </w:pPr>
      <w:r w:rsidRPr="000C4C98">
        <w:rPr>
          <w:rFonts w:ascii="Bookman Old Style" w:eastAsia="Century Gothic" w:hAnsi="Bookman Old Style" w:cs="Century Gothic"/>
          <w:b/>
          <w:i/>
          <w:color w:val="000000" w:themeColor="text1"/>
          <w:sz w:val="18"/>
          <w:szCs w:val="18"/>
        </w:rPr>
        <w:t>“4.10</w:t>
      </w:r>
      <w:r w:rsidRPr="000C4C98">
        <w:rPr>
          <w:rFonts w:ascii="Bookman Old Style" w:eastAsia="Century Gothic" w:hAnsi="Bookman Old Style" w:cs="Century Gothic"/>
          <w:b/>
          <w:i/>
          <w:color w:val="000000" w:themeColor="text1"/>
          <w:sz w:val="18"/>
          <w:szCs w:val="18"/>
        </w:rPr>
        <w:tab/>
        <w:t>Directive - 10</w:t>
      </w:r>
    </w:p>
    <w:p w:rsidR="00381ACE" w:rsidRPr="000C4C98" w:rsidRDefault="00381ACE" w:rsidP="004F1177">
      <w:pPr>
        <w:spacing w:line="240" w:lineRule="auto"/>
        <w:ind w:left="567" w:right="634"/>
        <w:jc w:val="both"/>
        <w:rPr>
          <w:rFonts w:ascii="Bookman Old Style" w:eastAsia="Century Gothic" w:hAnsi="Bookman Old Style" w:cs="Century Gothic"/>
          <w:b/>
          <w:i/>
          <w:color w:val="000000" w:themeColor="text1"/>
          <w:sz w:val="18"/>
          <w:szCs w:val="18"/>
        </w:rPr>
      </w:pPr>
      <w:r w:rsidRPr="000C4C98">
        <w:rPr>
          <w:rFonts w:ascii="Bookman Old Style" w:eastAsia="Century Gothic" w:hAnsi="Bookman Old Style" w:cs="Century Gothic"/>
          <w:b/>
          <w:i/>
          <w:color w:val="000000" w:themeColor="text1"/>
          <w:sz w:val="18"/>
          <w:szCs w:val="18"/>
        </w:rPr>
        <w:t>Directive on Analysis of Consumers’ Security Deposit (Page 29 of Tariff Order dated 11.01.2008)</w:t>
      </w:r>
    </w:p>
    <w:p w:rsidR="00381ACE" w:rsidRPr="000C4C98" w:rsidRDefault="00381ACE" w:rsidP="004F1177">
      <w:pPr>
        <w:spacing w:line="240" w:lineRule="auto"/>
        <w:ind w:left="567" w:right="634"/>
        <w:jc w:val="center"/>
        <w:rPr>
          <w:rFonts w:ascii="Bookman Old Style" w:hAnsi="Bookman Old Style"/>
          <w:color w:val="000000" w:themeColor="text1"/>
          <w:sz w:val="18"/>
          <w:szCs w:val="18"/>
        </w:rPr>
      </w:pPr>
      <w:r w:rsidRPr="000C4C98">
        <w:rPr>
          <w:rFonts w:ascii="Bookman Old Style" w:eastAsia="Century Gothic" w:hAnsi="Bookman Old Style" w:cs="Century Gothic"/>
          <w:i/>
          <w:color w:val="000000" w:themeColor="text1"/>
          <w:sz w:val="18"/>
          <w:szCs w:val="18"/>
        </w:rPr>
        <w:t>The relevant extract of the tariff order is as under:</w:t>
      </w:r>
    </w:p>
    <w:p w:rsidR="00381ACE" w:rsidRPr="000C4C98" w:rsidRDefault="00381ACE" w:rsidP="004F1177">
      <w:pPr>
        <w:pStyle w:val="Header"/>
        <w:tabs>
          <w:tab w:val="left" w:pos="720"/>
        </w:tabs>
        <w:ind w:left="567" w:right="634"/>
        <w:jc w:val="both"/>
        <w:rPr>
          <w:rFonts w:ascii="Bookman Old Style" w:hAnsi="Bookman Old Style"/>
          <w:color w:val="000000" w:themeColor="text1"/>
          <w:sz w:val="18"/>
          <w:szCs w:val="18"/>
        </w:rPr>
      </w:pP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18"/>
          <w:szCs w:val="18"/>
        </w:rPr>
      </w:pPr>
      <w:r w:rsidRPr="000C4C98">
        <w:rPr>
          <w:rFonts w:ascii="Bookman Old Style" w:eastAsia="Century Gothic" w:hAnsi="Bookman Old Style" w:cs="Century Gothic"/>
          <w:i/>
          <w:color w:val="000000" w:themeColor="text1"/>
          <w:sz w:val="18"/>
          <w:szCs w:val="18"/>
        </w:rPr>
        <w:t xml:space="preserve">The Commission notes that, besides the above objector, the FKCCI and many other objectors have been repeatedly raising the issue of differences in the closing balances and opening balances of consumers’ security deposit, but no satisfactory answer has been provided by </w:t>
      </w:r>
      <w:r w:rsidRPr="000C4C98">
        <w:rPr>
          <w:rFonts w:ascii="Bookman Old Style" w:eastAsia="Century Gothic" w:hAnsi="Bookman Old Style" w:cs="Century Gothic"/>
          <w:i/>
          <w:color w:val="000000" w:themeColor="text1"/>
          <w:sz w:val="18"/>
          <w:szCs w:val="18"/>
        </w:rPr>
        <w:lastRenderedPageBreak/>
        <w:t>BESCOM.  BESCOM is therefore directed to make an analysis of the closing balances and opening balances before and after the formation of BESCOM, in consultation with KPTCL and highlight the factual position as to whether a part of the consumer deposits has been capitalized as equity by the GoK, while arriving at the opening balance sheet figures of BESCOM. Since this is a matter, which involves public money, the Commission expects that, all the adjustments made should be brought out in a clear and transparent manner. BESCOM shall file a status report along with details in this regard within two months from the date of issue of this order.</w:t>
      </w: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18"/>
          <w:szCs w:val="18"/>
        </w:rPr>
      </w:pPr>
      <w:r w:rsidRPr="000C4C98">
        <w:rPr>
          <w:rFonts w:ascii="Bookman Old Style" w:eastAsia="Century Gothic" w:hAnsi="Bookman Old Style" w:cs="Century Gothic"/>
          <w:b/>
          <w:i/>
          <w:color w:val="000000" w:themeColor="text1"/>
          <w:sz w:val="18"/>
          <w:szCs w:val="18"/>
        </w:rPr>
        <w:t>Compliance:</w:t>
      </w: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18"/>
          <w:szCs w:val="18"/>
        </w:rPr>
      </w:pPr>
      <w:r w:rsidRPr="000C4C98">
        <w:rPr>
          <w:rFonts w:ascii="Bookman Old Style" w:eastAsia="Century Gothic" w:hAnsi="Bookman Old Style" w:cs="Century Gothic"/>
          <w:i/>
          <w:color w:val="000000" w:themeColor="text1"/>
          <w:sz w:val="18"/>
          <w:szCs w:val="18"/>
        </w:rPr>
        <w:t xml:space="preserve">The GoK vide Order No: D18/PSR 2003/Bangalore dated 31.05.2003   approved to recapitalize net worth of KPTCL/ESCOMs by utilizing the balances of meter equipment security deposit existing in the books of ESCOMs aggregating to Rs.205 Crores. Further, the GoK has assured the contingent liability arising on account of recapitalization as and when it arises. </w:t>
      </w: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18"/>
          <w:szCs w:val="18"/>
        </w:rPr>
      </w:pPr>
      <w:r w:rsidRPr="000C4C98">
        <w:rPr>
          <w:rFonts w:ascii="Bookman Old Style" w:eastAsia="Century Gothic" w:hAnsi="Bookman Old Style" w:cs="Century Gothic"/>
          <w:i/>
          <w:color w:val="000000" w:themeColor="text1"/>
          <w:sz w:val="18"/>
          <w:szCs w:val="18"/>
        </w:rPr>
        <w:t>KPTCL was consulted on the captioned subject and KPTCL has clarified vide letters dated 15th &amp;16th May 2008. The separation of Transmission and Distribution business was done considering Accounting units as the basis.  The segregated figures were made available to GoK, for verifying the Opening Balance Sheets of new Companies.  GoK vide Order dt.31.05.2003 notified the Opening Balance Sheet of KPTCL and ESCOMs as on 31.05.2002.  After notification, the sum total of Trial balance rendered by the Accounting units as on 31.05.2002 under each ESCOM and KPTCL was tallied after taking into BRP Adjustments.</w:t>
      </w: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18"/>
          <w:szCs w:val="18"/>
        </w:rPr>
      </w:pPr>
      <w:r w:rsidRPr="000C4C98">
        <w:rPr>
          <w:rFonts w:ascii="Bookman Old Style" w:eastAsia="Century Gothic" w:hAnsi="Bookman Old Style" w:cs="Century Gothic"/>
          <w:i/>
          <w:color w:val="000000" w:themeColor="text1"/>
          <w:sz w:val="18"/>
          <w:szCs w:val="18"/>
        </w:rPr>
        <w:t xml:space="preserve">As per May 2002 Closure Accounts, the Security Deposit held by the Accounting units under the jurisdiction of BESCOM was Rs.632 cores.  The Amount of Security deposit from the consumer notified as Opening Balance by GoK was also Rs.632 Crores and as such no BRP adjustment was made in respect of Security Deposit from the consumers. </w:t>
      </w: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18"/>
          <w:szCs w:val="18"/>
        </w:rPr>
      </w:pPr>
      <w:r w:rsidRPr="000C4C98">
        <w:rPr>
          <w:rFonts w:ascii="Bookman Old Style" w:eastAsia="Century Gothic" w:hAnsi="Bookman Old Style" w:cs="Century Gothic"/>
          <w:i/>
          <w:color w:val="000000" w:themeColor="text1"/>
          <w:sz w:val="18"/>
          <w:szCs w:val="18"/>
        </w:rPr>
        <w:t>However, GoK vide Order dt.31.05.2003, approved recapitalization of the net worth of KPTCL/ESCOMs utilizing the balances of meter equipment security deposit existing in the books of ESCOMs aggregating to Rs.205 Crores. The details of adjustments along with accounting code and ESCOMs wise are shown below.</w:t>
      </w:r>
    </w:p>
    <w:p w:rsidR="00381ACE" w:rsidRPr="000C4C98" w:rsidRDefault="00381ACE" w:rsidP="004F1177">
      <w:pPr>
        <w:spacing w:after="0" w:line="360" w:lineRule="auto"/>
        <w:ind w:left="567" w:right="634"/>
        <w:jc w:val="both"/>
        <w:rPr>
          <w:rFonts w:ascii="Bookman Old Style" w:eastAsia="Century Gothic" w:hAnsi="Bookman Old Style" w:cs="Century Gothic"/>
          <w:i/>
          <w:color w:val="000000" w:themeColor="text1"/>
          <w:sz w:val="18"/>
          <w:szCs w:val="18"/>
        </w:rPr>
      </w:pPr>
      <w:r w:rsidRPr="000C4C98">
        <w:rPr>
          <w:rFonts w:ascii="Bookman Old Style" w:eastAsia="Century Gothic" w:hAnsi="Bookman Old Style" w:cs="Century Gothic"/>
          <w:i/>
          <w:color w:val="000000" w:themeColor="text1"/>
          <w:sz w:val="18"/>
          <w:szCs w:val="18"/>
        </w:rPr>
        <w:t xml:space="preserve">TABLE – </w:t>
      </w:r>
      <w:r w:rsidR="00D521C1">
        <w:rPr>
          <w:rFonts w:ascii="Bookman Old Style" w:eastAsia="Century Gothic" w:hAnsi="Bookman Old Style" w:cs="Century Gothic"/>
          <w:i/>
          <w:color w:val="000000" w:themeColor="text1"/>
          <w:sz w:val="18"/>
          <w:szCs w:val="18"/>
        </w:rPr>
        <w:t>3.42</w:t>
      </w:r>
    </w:p>
    <w:p w:rsidR="00381ACE" w:rsidRPr="000C4C98" w:rsidRDefault="00381ACE" w:rsidP="004F1177">
      <w:pPr>
        <w:spacing w:line="240" w:lineRule="auto"/>
        <w:ind w:left="567" w:right="634"/>
        <w:jc w:val="both"/>
        <w:rPr>
          <w:rFonts w:ascii="Bookman Old Style" w:eastAsia="Century Gothic" w:hAnsi="Bookman Old Style" w:cs="Century Gothic"/>
          <w:b/>
          <w:i/>
          <w:color w:val="000000" w:themeColor="text1"/>
          <w:sz w:val="18"/>
          <w:szCs w:val="18"/>
        </w:rPr>
      </w:pPr>
      <w:r w:rsidRPr="000C4C98">
        <w:rPr>
          <w:rFonts w:ascii="Bookman Old Style" w:eastAsia="Century Gothic" w:hAnsi="Bookman Old Style" w:cs="Century Gothic"/>
          <w:b/>
          <w:i/>
          <w:color w:val="000000" w:themeColor="text1"/>
          <w:sz w:val="18"/>
          <w:szCs w:val="18"/>
        </w:rPr>
        <w:t>Security Deposit – Adjustment</w:t>
      </w:r>
    </w:p>
    <w:p w:rsidR="00381ACE" w:rsidRPr="000C4C98" w:rsidRDefault="00381ACE" w:rsidP="00D521C1">
      <w:pPr>
        <w:spacing w:after="0" w:line="360" w:lineRule="auto"/>
        <w:ind w:left="567" w:right="634"/>
        <w:jc w:val="both"/>
        <w:rPr>
          <w:rFonts w:ascii="Bookman Old Style" w:hAnsi="Bookman Old Style"/>
          <w:b/>
          <w:bCs/>
          <w:color w:val="000000" w:themeColor="text1"/>
          <w:sz w:val="18"/>
          <w:szCs w:val="18"/>
        </w:rPr>
      </w:pPr>
      <w:r w:rsidRPr="00D521C1">
        <w:rPr>
          <w:rFonts w:ascii="Bookman Old Style" w:hAnsi="Bookman Old Style"/>
          <w:b/>
          <w:bCs/>
          <w:color w:val="000000" w:themeColor="text1"/>
          <w:sz w:val="18"/>
          <w:szCs w:val="18"/>
        </w:rPr>
        <w:t xml:space="preserve">                                               </w:t>
      </w:r>
      <w:r w:rsidR="00D521C1" w:rsidRPr="00D521C1">
        <w:rPr>
          <w:rFonts w:ascii="Bookman Old Style" w:eastAsia="Century Gothic" w:hAnsi="Bookman Old Style" w:cs="Century Gothic"/>
          <w:b/>
          <w:i/>
          <w:color w:val="000000" w:themeColor="text1"/>
          <w:sz w:val="18"/>
          <w:szCs w:val="18"/>
        </w:rPr>
        <w:t>TABLE – 3.42</w:t>
      </w:r>
      <w:r w:rsidRPr="000C4C98">
        <w:rPr>
          <w:rFonts w:ascii="Bookman Old Style" w:hAnsi="Bookman Old Style"/>
          <w:b/>
          <w:bCs/>
          <w:color w:val="000000" w:themeColor="text1"/>
          <w:sz w:val="18"/>
          <w:szCs w:val="18"/>
        </w:rPr>
        <w:t xml:space="preserve">                              Amount in Rs. Crores</w:t>
      </w:r>
    </w:p>
    <w:tbl>
      <w:tblPr>
        <w:tblW w:w="9055" w:type="dxa"/>
        <w:jc w:val="center"/>
        <w:tblLook w:val="04A0" w:firstRow="1" w:lastRow="0" w:firstColumn="1" w:lastColumn="0" w:noHBand="0" w:noVBand="1"/>
      </w:tblPr>
      <w:tblGrid>
        <w:gridCol w:w="1349"/>
        <w:gridCol w:w="2381"/>
        <w:gridCol w:w="1086"/>
        <w:gridCol w:w="1112"/>
        <w:gridCol w:w="1101"/>
        <w:gridCol w:w="1093"/>
        <w:gridCol w:w="933"/>
      </w:tblGrid>
      <w:tr w:rsidR="00381ACE" w:rsidRPr="000C4C98" w:rsidTr="008B0A50">
        <w:trPr>
          <w:trHeight w:val="48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b/>
                <w:bCs/>
                <w:i/>
                <w:iCs/>
                <w:color w:val="000000" w:themeColor="text1"/>
                <w:sz w:val="18"/>
                <w:szCs w:val="18"/>
                <w:lang w:eastAsia="en-IN"/>
              </w:rPr>
            </w:pPr>
            <w:r w:rsidRPr="000C4C98">
              <w:rPr>
                <w:rFonts w:ascii="Bookman Old Style" w:hAnsi="Bookman Old Style"/>
                <w:b/>
                <w:bCs/>
                <w:i/>
                <w:iCs/>
                <w:color w:val="000000" w:themeColor="text1"/>
                <w:sz w:val="18"/>
                <w:szCs w:val="18"/>
                <w:lang w:eastAsia="en-IN"/>
              </w:rPr>
              <w:t>Accounting Codes</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b/>
                <w:bCs/>
                <w:i/>
                <w:iCs/>
                <w:color w:val="000000" w:themeColor="text1"/>
                <w:sz w:val="18"/>
                <w:szCs w:val="18"/>
                <w:lang w:eastAsia="en-IN"/>
              </w:rPr>
            </w:pPr>
            <w:r w:rsidRPr="000C4C98">
              <w:rPr>
                <w:rFonts w:ascii="Bookman Old Style" w:hAnsi="Bookman Old Style"/>
                <w:b/>
                <w:bCs/>
                <w:i/>
                <w:iCs/>
                <w:color w:val="000000" w:themeColor="text1"/>
                <w:sz w:val="18"/>
                <w:szCs w:val="18"/>
                <w:lang w:eastAsia="en-IN"/>
              </w:rPr>
              <w:t>Nomenclature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b/>
                <w:bCs/>
                <w:i/>
                <w:iCs/>
                <w:color w:val="000000" w:themeColor="text1"/>
                <w:sz w:val="18"/>
                <w:szCs w:val="18"/>
                <w:lang w:eastAsia="en-IN"/>
              </w:rPr>
            </w:pPr>
            <w:r w:rsidRPr="000C4C98">
              <w:rPr>
                <w:rFonts w:ascii="Bookman Old Style" w:hAnsi="Bookman Old Style"/>
                <w:b/>
                <w:bCs/>
                <w:i/>
                <w:iCs/>
                <w:color w:val="000000" w:themeColor="text1"/>
                <w:sz w:val="18"/>
                <w:szCs w:val="18"/>
                <w:lang w:eastAsia="en-IN"/>
              </w:rPr>
              <w:t>BESCOM</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b/>
                <w:bCs/>
                <w:i/>
                <w:iCs/>
                <w:color w:val="000000" w:themeColor="text1"/>
                <w:sz w:val="18"/>
                <w:szCs w:val="18"/>
                <w:lang w:eastAsia="en-IN"/>
              </w:rPr>
            </w:pPr>
            <w:r w:rsidRPr="000C4C98">
              <w:rPr>
                <w:rFonts w:ascii="Bookman Old Style" w:hAnsi="Bookman Old Style"/>
                <w:b/>
                <w:bCs/>
                <w:i/>
                <w:iCs/>
                <w:color w:val="000000" w:themeColor="text1"/>
                <w:sz w:val="18"/>
                <w:szCs w:val="18"/>
                <w:lang w:eastAsia="en-IN"/>
              </w:rPr>
              <w:t>MESCOM</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b/>
                <w:bCs/>
                <w:i/>
                <w:iCs/>
                <w:color w:val="000000" w:themeColor="text1"/>
                <w:sz w:val="18"/>
                <w:szCs w:val="18"/>
                <w:lang w:eastAsia="en-IN"/>
              </w:rPr>
            </w:pPr>
            <w:r w:rsidRPr="000C4C98">
              <w:rPr>
                <w:rFonts w:ascii="Bookman Old Style" w:hAnsi="Bookman Old Style"/>
                <w:b/>
                <w:bCs/>
                <w:i/>
                <w:iCs/>
                <w:color w:val="000000" w:themeColor="text1"/>
                <w:sz w:val="18"/>
                <w:szCs w:val="18"/>
                <w:lang w:eastAsia="en-IN"/>
              </w:rPr>
              <w:t>HESCOM</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b/>
                <w:bCs/>
                <w:i/>
                <w:iCs/>
                <w:color w:val="000000" w:themeColor="text1"/>
                <w:sz w:val="18"/>
                <w:szCs w:val="18"/>
                <w:lang w:eastAsia="en-IN"/>
              </w:rPr>
            </w:pPr>
            <w:r w:rsidRPr="000C4C98">
              <w:rPr>
                <w:rFonts w:ascii="Bookman Old Style" w:hAnsi="Bookman Old Style"/>
                <w:b/>
                <w:bCs/>
                <w:i/>
                <w:iCs/>
                <w:color w:val="000000" w:themeColor="text1"/>
                <w:sz w:val="18"/>
                <w:szCs w:val="18"/>
                <w:lang w:eastAsia="en-IN"/>
              </w:rPr>
              <w:t>GESCOM</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b/>
                <w:bCs/>
                <w:i/>
                <w:iCs/>
                <w:color w:val="000000" w:themeColor="text1"/>
                <w:sz w:val="18"/>
                <w:szCs w:val="18"/>
                <w:lang w:eastAsia="en-IN"/>
              </w:rPr>
            </w:pPr>
            <w:r w:rsidRPr="000C4C98">
              <w:rPr>
                <w:rFonts w:ascii="Bookman Old Style" w:hAnsi="Bookman Old Style"/>
                <w:b/>
                <w:bCs/>
                <w:i/>
                <w:iCs/>
                <w:color w:val="000000" w:themeColor="text1"/>
                <w:sz w:val="18"/>
                <w:szCs w:val="18"/>
                <w:lang w:eastAsia="en-IN"/>
              </w:rPr>
              <w:t>TOTAL</w:t>
            </w:r>
          </w:p>
        </w:tc>
      </w:tr>
      <w:tr w:rsidR="00381ACE" w:rsidRPr="000C4C98" w:rsidTr="008B0A50">
        <w:trPr>
          <w:trHeight w:val="70"/>
          <w:jc w:val="center"/>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b/>
                <w:i/>
                <w:iCs/>
                <w:color w:val="000000" w:themeColor="text1"/>
                <w:sz w:val="18"/>
                <w:szCs w:val="18"/>
                <w:u w:val="single"/>
                <w:lang w:eastAsia="en-IN"/>
              </w:rPr>
            </w:pPr>
            <w:r w:rsidRPr="000C4C98">
              <w:rPr>
                <w:rFonts w:ascii="Bookman Old Style" w:hAnsi="Bookman Old Style"/>
                <w:b/>
                <w:i/>
                <w:iCs/>
                <w:color w:val="000000" w:themeColor="text1"/>
                <w:sz w:val="18"/>
                <w:szCs w:val="18"/>
                <w:u w:val="single"/>
                <w:lang w:eastAsia="en-IN"/>
              </w:rPr>
              <w:t>47.603</w:t>
            </w:r>
          </w:p>
        </w:tc>
        <w:tc>
          <w:tcPr>
            <w:tcW w:w="2381"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rPr>
                <w:rFonts w:ascii="Bookman Old Style" w:hAnsi="Bookman Old Style"/>
                <w:b/>
                <w:i/>
                <w:iCs/>
                <w:color w:val="000000" w:themeColor="text1"/>
                <w:sz w:val="18"/>
                <w:szCs w:val="18"/>
                <w:u w:val="single"/>
                <w:lang w:eastAsia="en-IN"/>
              </w:rPr>
            </w:pPr>
            <w:r w:rsidRPr="000C4C98">
              <w:rPr>
                <w:rFonts w:ascii="Bookman Old Style" w:hAnsi="Bookman Old Style"/>
                <w:b/>
                <w:i/>
                <w:iCs/>
                <w:color w:val="000000" w:themeColor="text1"/>
                <w:sz w:val="18"/>
                <w:szCs w:val="18"/>
                <w:u w:val="single"/>
                <w:lang w:eastAsia="en-IN"/>
              </w:rPr>
              <w:t>Security deposit for meter equipment’s</w:t>
            </w:r>
          </w:p>
        </w:tc>
        <w:tc>
          <w:tcPr>
            <w:tcW w:w="1086"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b/>
                <w:i/>
                <w:iCs/>
                <w:color w:val="000000" w:themeColor="text1"/>
                <w:sz w:val="18"/>
                <w:szCs w:val="18"/>
                <w:u w:val="single"/>
                <w:lang w:eastAsia="en-IN"/>
              </w:rPr>
            </w:pPr>
            <w:r w:rsidRPr="000C4C98">
              <w:rPr>
                <w:rFonts w:ascii="Bookman Old Style" w:hAnsi="Bookman Old Style"/>
                <w:b/>
                <w:i/>
                <w:iCs/>
                <w:color w:val="000000" w:themeColor="text1"/>
                <w:sz w:val="18"/>
                <w:szCs w:val="18"/>
                <w:u w:val="single"/>
                <w:lang w:eastAsia="en-IN"/>
              </w:rPr>
              <w:t>85.97</w:t>
            </w:r>
          </w:p>
        </w:tc>
        <w:tc>
          <w:tcPr>
            <w:tcW w:w="1112"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47.72</w:t>
            </w:r>
          </w:p>
        </w:tc>
        <w:tc>
          <w:tcPr>
            <w:tcW w:w="1101"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32.29</w:t>
            </w:r>
          </w:p>
        </w:tc>
        <w:tc>
          <w:tcPr>
            <w:tcW w:w="1093"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17.57</w:t>
            </w:r>
          </w:p>
        </w:tc>
        <w:tc>
          <w:tcPr>
            <w:tcW w:w="933"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183.55</w:t>
            </w:r>
          </w:p>
        </w:tc>
      </w:tr>
      <w:tr w:rsidR="00381ACE" w:rsidRPr="000C4C98" w:rsidTr="008B0A50">
        <w:trPr>
          <w:trHeight w:val="300"/>
          <w:jc w:val="center"/>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47.604</w:t>
            </w:r>
          </w:p>
        </w:tc>
        <w:tc>
          <w:tcPr>
            <w:tcW w:w="2381"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Revenue suspense</w:t>
            </w:r>
          </w:p>
        </w:tc>
        <w:tc>
          <w:tcPr>
            <w:tcW w:w="1086"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12.07</w:t>
            </w:r>
          </w:p>
        </w:tc>
        <w:tc>
          <w:tcPr>
            <w:tcW w:w="1112"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1.08</w:t>
            </w:r>
          </w:p>
        </w:tc>
        <w:tc>
          <w:tcPr>
            <w:tcW w:w="1101"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0.99</w:t>
            </w:r>
          </w:p>
        </w:tc>
        <w:tc>
          <w:tcPr>
            <w:tcW w:w="1093"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0.04</w:t>
            </w:r>
          </w:p>
        </w:tc>
        <w:tc>
          <w:tcPr>
            <w:tcW w:w="933"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14.18</w:t>
            </w:r>
          </w:p>
        </w:tc>
      </w:tr>
      <w:tr w:rsidR="00381ACE" w:rsidRPr="000C4C98" w:rsidTr="008B0A50">
        <w:trPr>
          <w:trHeight w:val="70"/>
          <w:jc w:val="center"/>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47.605</w:t>
            </w:r>
          </w:p>
        </w:tc>
        <w:tc>
          <w:tcPr>
            <w:tcW w:w="2381"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Voluntary loan contribution by IP consumers</w:t>
            </w:r>
          </w:p>
        </w:tc>
        <w:tc>
          <w:tcPr>
            <w:tcW w:w="1086"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2.4</w:t>
            </w:r>
          </w:p>
        </w:tc>
        <w:tc>
          <w:tcPr>
            <w:tcW w:w="1112"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0.12</w:t>
            </w:r>
          </w:p>
        </w:tc>
        <w:tc>
          <w:tcPr>
            <w:tcW w:w="1101"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0.01</w:t>
            </w:r>
          </w:p>
        </w:tc>
        <w:tc>
          <w:tcPr>
            <w:tcW w:w="1093"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0.03</w:t>
            </w:r>
          </w:p>
        </w:tc>
        <w:tc>
          <w:tcPr>
            <w:tcW w:w="933"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2.56</w:t>
            </w:r>
          </w:p>
        </w:tc>
      </w:tr>
      <w:tr w:rsidR="00381ACE" w:rsidRPr="000C4C98" w:rsidTr="008B0A50">
        <w:trPr>
          <w:trHeight w:val="70"/>
          <w:jc w:val="center"/>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47.606</w:t>
            </w:r>
          </w:p>
        </w:tc>
        <w:tc>
          <w:tcPr>
            <w:tcW w:w="2381"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Revenue collection pending classification over sundry debtors</w:t>
            </w:r>
          </w:p>
        </w:tc>
        <w:tc>
          <w:tcPr>
            <w:tcW w:w="1086"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0.99</w:t>
            </w:r>
          </w:p>
        </w:tc>
        <w:tc>
          <w:tcPr>
            <w:tcW w:w="1112"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0.11</w:t>
            </w:r>
          </w:p>
        </w:tc>
        <w:tc>
          <w:tcPr>
            <w:tcW w:w="1101"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0.02</w:t>
            </w:r>
          </w:p>
        </w:tc>
        <w:tc>
          <w:tcPr>
            <w:tcW w:w="1093"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4.07</w:t>
            </w:r>
          </w:p>
        </w:tc>
        <w:tc>
          <w:tcPr>
            <w:tcW w:w="933"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i/>
                <w:iCs/>
                <w:color w:val="000000" w:themeColor="text1"/>
                <w:sz w:val="18"/>
                <w:szCs w:val="18"/>
                <w:lang w:eastAsia="en-IN"/>
              </w:rPr>
            </w:pPr>
            <w:r w:rsidRPr="000C4C98">
              <w:rPr>
                <w:rFonts w:ascii="Bookman Old Style" w:hAnsi="Bookman Old Style"/>
                <w:i/>
                <w:iCs/>
                <w:color w:val="000000" w:themeColor="text1"/>
                <w:sz w:val="18"/>
                <w:szCs w:val="18"/>
                <w:lang w:eastAsia="en-IN"/>
              </w:rPr>
              <w:t>5.19</w:t>
            </w:r>
          </w:p>
        </w:tc>
      </w:tr>
      <w:tr w:rsidR="00381ACE" w:rsidRPr="000C4C98" w:rsidTr="008B0A50">
        <w:trPr>
          <w:trHeight w:val="300"/>
          <w:jc w:val="center"/>
        </w:trPr>
        <w:tc>
          <w:tcPr>
            <w:tcW w:w="3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rPr>
                <w:rFonts w:ascii="Bookman Old Style" w:hAnsi="Bookman Old Style"/>
                <w:b/>
                <w:bCs/>
                <w:i/>
                <w:iCs/>
                <w:color w:val="000000" w:themeColor="text1"/>
                <w:sz w:val="18"/>
                <w:szCs w:val="18"/>
                <w:lang w:eastAsia="en-IN"/>
              </w:rPr>
            </w:pPr>
            <w:r w:rsidRPr="000C4C98">
              <w:rPr>
                <w:rFonts w:ascii="Bookman Old Style" w:hAnsi="Bookman Old Style"/>
                <w:b/>
                <w:bCs/>
                <w:i/>
                <w:iCs/>
                <w:color w:val="000000" w:themeColor="text1"/>
                <w:sz w:val="18"/>
                <w:szCs w:val="18"/>
                <w:lang w:eastAsia="en-IN"/>
              </w:rPr>
              <w:t>Total</w:t>
            </w:r>
          </w:p>
        </w:tc>
        <w:tc>
          <w:tcPr>
            <w:tcW w:w="1086"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b/>
                <w:bCs/>
                <w:i/>
                <w:iCs/>
                <w:color w:val="000000" w:themeColor="text1"/>
                <w:sz w:val="18"/>
                <w:szCs w:val="18"/>
                <w:lang w:eastAsia="en-IN"/>
              </w:rPr>
            </w:pPr>
            <w:r w:rsidRPr="000C4C98">
              <w:rPr>
                <w:rFonts w:ascii="Bookman Old Style" w:hAnsi="Bookman Old Style"/>
                <w:b/>
                <w:bCs/>
                <w:i/>
                <w:iCs/>
                <w:color w:val="000000" w:themeColor="text1"/>
                <w:sz w:val="18"/>
                <w:szCs w:val="18"/>
                <w:lang w:eastAsia="en-IN"/>
              </w:rPr>
              <w:t>101.43</w:t>
            </w:r>
          </w:p>
        </w:tc>
        <w:tc>
          <w:tcPr>
            <w:tcW w:w="1112"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b/>
                <w:bCs/>
                <w:i/>
                <w:iCs/>
                <w:color w:val="000000" w:themeColor="text1"/>
                <w:sz w:val="18"/>
                <w:szCs w:val="18"/>
                <w:lang w:eastAsia="en-IN"/>
              </w:rPr>
            </w:pPr>
            <w:r w:rsidRPr="000C4C98">
              <w:rPr>
                <w:rFonts w:ascii="Bookman Old Style" w:hAnsi="Bookman Old Style"/>
                <w:b/>
                <w:bCs/>
                <w:i/>
                <w:iCs/>
                <w:color w:val="000000" w:themeColor="text1"/>
                <w:sz w:val="18"/>
                <w:szCs w:val="18"/>
                <w:lang w:eastAsia="en-IN"/>
              </w:rPr>
              <w:t>49.03</w:t>
            </w:r>
          </w:p>
        </w:tc>
        <w:tc>
          <w:tcPr>
            <w:tcW w:w="1101"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b/>
                <w:bCs/>
                <w:i/>
                <w:iCs/>
                <w:color w:val="000000" w:themeColor="text1"/>
                <w:sz w:val="18"/>
                <w:szCs w:val="18"/>
                <w:lang w:eastAsia="en-IN"/>
              </w:rPr>
            </w:pPr>
            <w:r w:rsidRPr="000C4C98">
              <w:rPr>
                <w:rFonts w:ascii="Bookman Old Style" w:hAnsi="Bookman Old Style"/>
                <w:b/>
                <w:bCs/>
                <w:i/>
                <w:iCs/>
                <w:color w:val="000000" w:themeColor="text1"/>
                <w:sz w:val="18"/>
                <w:szCs w:val="18"/>
                <w:lang w:eastAsia="en-IN"/>
              </w:rPr>
              <w:t>33.31</w:t>
            </w:r>
          </w:p>
        </w:tc>
        <w:tc>
          <w:tcPr>
            <w:tcW w:w="1093"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b/>
                <w:bCs/>
                <w:i/>
                <w:iCs/>
                <w:color w:val="000000" w:themeColor="text1"/>
                <w:sz w:val="18"/>
                <w:szCs w:val="18"/>
                <w:lang w:eastAsia="en-IN"/>
              </w:rPr>
            </w:pPr>
            <w:r w:rsidRPr="000C4C98">
              <w:rPr>
                <w:rFonts w:ascii="Bookman Old Style" w:hAnsi="Bookman Old Style"/>
                <w:b/>
                <w:bCs/>
                <w:i/>
                <w:iCs/>
                <w:color w:val="000000" w:themeColor="text1"/>
                <w:sz w:val="18"/>
                <w:szCs w:val="18"/>
                <w:lang w:eastAsia="en-IN"/>
              </w:rPr>
              <w:t>21.71</w:t>
            </w:r>
          </w:p>
        </w:tc>
        <w:tc>
          <w:tcPr>
            <w:tcW w:w="933"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8B0A50">
            <w:pPr>
              <w:spacing w:after="0" w:line="240" w:lineRule="auto"/>
              <w:ind w:right="67"/>
              <w:jc w:val="center"/>
              <w:rPr>
                <w:rFonts w:ascii="Bookman Old Style" w:hAnsi="Bookman Old Style"/>
                <w:b/>
                <w:bCs/>
                <w:i/>
                <w:iCs/>
                <w:color w:val="000000" w:themeColor="text1"/>
                <w:sz w:val="18"/>
                <w:szCs w:val="18"/>
                <w:lang w:eastAsia="en-IN"/>
              </w:rPr>
            </w:pPr>
            <w:r w:rsidRPr="000C4C98">
              <w:rPr>
                <w:rFonts w:ascii="Bookman Old Style" w:hAnsi="Bookman Old Style"/>
                <w:b/>
                <w:bCs/>
                <w:i/>
                <w:iCs/>
                <w:color w:val="000000" w:themeColor="text1"/>
                <w:sz w:val="18"/>
                <w:szCs w:val="18"/>
                <w:lang w:eastAsia="en-IN"/>
              </w:rPr>
              <w:t>205.5</w:t>
            </w:r>
          </w:p>
        </w:tc>
      </w:tr>
    </w:tbl>
    <w:p w:rsidR="00381ACE" w:rsidRPr="000C4C98" w:rsidRDefault="00381ACE" w:rsidP="00717D3E">
      <w:pPr>
        <w:pStyle w:val="BodyTextIndent"/>
        <w:ind w:left="0" w:right="67"/>
        <w:rPr>
          <w:rFonts w:ascii="Bookman Old Style" w:hAnsi="Bookman Old Style"/>
          <w:color w:val="000000" w:themeColor="text1"/>
          <w:sz w:val="18"/>
          <w:szCs w:val="18"/>
        </w:rPr>
      </w:pP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18"/>
          <w:szCs w:val="18"/>
        </w:rPr>
      </w:pPr>
      <w:r w:rsidRPr="000C4C98">
        <w:rPr>
          <w:rFonts w:ascii="Bookman Old Style" w:eastAsia="Century Gothic" w:hAnsi="Bookman Old Style" w:cs="Century Gothic"/>
          <w:i/>
          <w:color w:val="000000" w:themeColor="text1"/>
          <w:sz w:val="18"/>
          <w:szCs w:val="18"/>
        </w:rPr>
        <w:t>GoK resorted to recapitalization of Deposits to ensure providing viable opening balance sheets to ESCOMS with ideal Debt: Equity Ratio.  This metering security deposit is refundable to the consumer at the time of termination of contract (permanent disconnection) &amp; the corresponding obligation in respect of such deposits would stand transferred to the GoK.</w:t>
      </w:r>
    </w:p>
    <w:p w:rsidR="00381ACE" w:rsidRPr="000C4C98" w:rsidRDefault="00381ACE" w:rsidP="00717D3E">
      <w:pPr>
        <w:spacing w:line="240" w:lineRule="auto"/>
        <w:ind w:right="67"/>
        <w:jc w:val="both"/>
        <w:rPr>
          <w:rFonts w:ascii="Bookman Old Style" w:eastAsia="Century Gothic" w:hAnsi="Bookman Old Style" w:cs="Century Gothic"/>
          <w:b/>
          <w:i/>
          <w:color w:val="000000" w:themeColor="text1"/>
          <w:sz w:val="18"/>
          <w:szCs w:val="18"/>
        </w:rPr>
      </w:pPr>
      <w:r w:rsidRPr="000C4C98">
        <w:rPr>
          <w:rFonts w:ascii="Bookman Old Style" w:eastAsia="Century Gothic" w:hAnsi="Bookman Old Style" w:cs="Century Gothic"/>
          <w:b/>
          <w:i/>
          <w:color w:val="000000" w:themeColor="text1"/>
          <w:sz w:val="18"/>
          <w:szCs w:val="18"/>
        </w:rPr>
        <w:t xml:space="preserve"> Commission’s Views:</w:t>
      </w:r>
    </w:p>
    <w:p w:rsidR="00381ACE" w:rsidRPr="000C4C98" w:rsidRDefault="00381ACE" w:rsidP="004F1177">
      <w:pPr>
        <w:spacing w:line="360" w:lineRule="auto"/>
        <w:ind w:left="567" w:right="634"/>
        <w:jc w:val="both"/>
        <w:rPr>
          <w:rFonts w:ascii="Bookman Old Style" w:eastAsia="Century Gothic" w:hAnsi="Bookman Old Style" w:cs="Century Gothic"/>
          <w:i/>
          <w:color w:val="000000" w:themeColor="text1"/>
          <w:sz w:val="18"/>
          <w:szCs w:val="18"/>
        </w:rPr>
      </w:pPr>
      <w:r w:rsidRPr="000C4C98">
        <w:rPr>
          <w:rFonts w:ascii="Bookman Old Style" w:eastAsia="Century Gothic" w:hAnsi="Bookman Old Style" w:cs="Century Gothic"/>
          <w:i/>
          <w:color w:val="000000" w:themeColor="text1"/>
          <w:sz w:val="18"/>
          <w:szCs w:val="18"/>
        </w:rPr>
        <w:t xml:space="preserve">The information furnished by BESCOM has been communicated to the FKCCI.  The Commission has informed FKCCI to contact BESCOM, </w:t>
      </w:r>
      <w:r w:rsidR="0035467F" w:rsidRPr="000C4C98">
        <w:rPr>
          <w:rFonts w:ascii="Bookman Old Style" w:eastAsia="Century Gothic" w:hAnsi="Bookman Old Style" w:cs="Century Gothic"/>
          <w:i/>
          <w:color w:val="000000" w:themeColor="text1"/>
          <w:sz w:val="18"/>
          <w:szCs w:val="18"/>
        </w:rPr>
        <w:t>in case</w:t>
      </w:r>
      <w:r w:rsidRPr="000C4C98">
        <w:rPr>
          <w:rFonts w:ascii="Bookman Old Style" w:eastAsia="Century Gothic" w:hAnsi="Bookman Old Style" w:cs="Century Gothic"/>
          <w:i/>
          <w:color w:val="000000" w:themeColor="text1"/>
          <w:sz w:val="18"/>
          <w:szCs w:val="18"/>
        </w:rPr>
        <w:t xml:space="preserve"> further clarification in the matter is required. “</w:t>
      </w:r>
    </w:p>
    <w:p w:rsidR="00381ACE" w:rsidRPr="000C4C98" w:rsidRDefault="00381ACE" w:rsidP="00717D3E">
      <w:pPr>
        <w:pStyle w:val="BodyText"/>
        <w:ind w:right="67"/>
        <w:rPr>
          <w:rFonts w:ascii="Bookman Old Style" w:hAnsi="Bookman Old Style"/>
          <w:iCs/>
          <w:color w:val="000000" w:themeColor="text1"/>
        </w:rPr>
      </w:pPr>
    </w:p>
    <w:p w:rsidR="00381ACE" w:rsidRPr="000C4C98" w:rsidRDefault="00381ACE" w:rsidP="00717D3E">
      <w:pPr>
        <w:spacing w:line="360" w:lineRule="auto"/>
        <w:ind w:right="67"/>
        <w:jc w:val="both"/>
        <w:rPr>
          <w:rFonts w:ascii="Bookman Old Style" w:eastAsia="Century Gothic" w:hAnsi="Bookman Old Style" w:cs="Century Gothic"/>
          <w:color w:val="000000" w:themeColor="text1"/>
        </w:rPr>
      </w:pPr>
      <w:r w:rsidRPr="000C4C98">
        <w:rPr>
          <w:rFonts w:ascii="Bookman Old Style" w:eastAsia="Century Gothic" w:hAnsi="Bookman Old Style" w:cs="Century Gothic"/>
          <w:color w:val="000000" w:themeColor="text1"/>
        </w:rPr>
        <w:t>As per the above data, BESCOM’s capitalized consumer meter security deposit is Rs.85.97 Crs. and not Rs. 100 Crs.  Hence, Commission is requested to correct the amount as Rs. 85.97 Crs. instead of Rs.100/- Cr.</w:t>
      </w:r>
    </w:p>
    <w:p w:rsidR="001F0DC3" w:rsidRDefault="00381ACE" w:rsidP="00717D3E">
      <w:pPr>
        <w:spacing w:line="360" w:lineRule="auto"/>
        <w:ind w:right="67"/>
        <w:jc w:val="both"/>
        <w:rPr>
          <w:rFonts w:ascii="Bookman Old Style" w:eastAsia="Century Gothic" w:hAnsi="Bookman Old Style" w:cs="Century Gothic"/>
          <w:b/>
          <w:i/>
          <w:color w:val="000000" w:themeColor="text1"/>
          <w:sz w:val="18"/>
          <w:szCs w:val="18"/>
        </w:rPr>
      </w:pPr>
      <w:r w:rsidRPr="000C4C98">
        <w:rPr>
          <w:rFonts w:ascii="Bookman Old Style" w:eastAsia="Century Gothic" w:hAnsi="Bookman Old Style" w:cs="Century Gothic"/>
          <w:color w:val="000000" w:themeColor="text1"/>
        </w:rPr>
        <w:t>Further, Commission kind attention is drawn for the Annual Account of BESCOM for the year 2011-2012, 2012-13 and 2013-14 vide Note No.20 ‘Other Income ‘head.  Amount received from the Government of Karnataka under tripartite agreement was credited to other income instead of reducing the receivable from the Government of Karnataka.  Details are as under:</w:t>
      </w:r>
      <w:r w:rsidR="001F0DC3" w:rsidRPr="001F0DC3">
        <w:rPr>
          <w:rFonts w:ascii="Bookman Old Style" w:eastAsia="Century Gothic" w:hAnsi="Bookman Old Style" w:cs="Century Gothic"/>
          <w:b/>
          <w:i/>
          <w:color w:val="000000" w:themeColor="text1"/>
          <w:sz w:val="18"/>
          <w:szCs w:val="18"/>
        </w:rPr>
        <w:t xml:space="preserve"> </w:t>
      </w:r>
    </w:p>
    <w:p w:rsidR="00381ACE" w:rsidRPr="000C4C98" w:rsidRDefault="001F0DC3" w:rsidP="001F0DC3">
      <w:pPr>
        <w:spacing w:line="360" w:lineRule="auto"/>
        <w:ind w:right="67"/>
        <w:jc w:val="center"/>
        <w:rPr>
          <w:rFonts w:ascii="Bookman Old Style" w:hAnsi="Bookman Old Style"/>
          <w:iCs/>
          <w:color w:val="000000" w:themeColor="text1"/>
        </w:rPr>
      </w:pPr>
      <w:r>
        <w:rPr>
          <w:rFonts w:ascii="Bookman Old Style" w:eastAsia="Century Gothic" w:hAnsi="Bookman Old Style" w:cs="Century Gothic"/>
          <w:b/>
          <w:i/>
          <w:color w:val="000000" w:themeColor="text1"/>
          <w:sz w:val="18"/>
          <w:szCs w:val="18"/>
        </w:rPr>
        <w:t>TABLE – 3.43</w:t>
      </w:r>
    </w:p>
    <w:tbl>
      <w:tblPr>
        <w:tblW w:w="5839" w:type="dxa"/>
        <w:jc w:val="center"/>
        <w:tblLook w:val="04A0" w:firstRow="1" w:lastRow="0" w:firstColumn="1" w:lastColumn="0" w:noHBand="0" w:noVBand="1"/>
      </w:tblPr>
      <w:tblGrid>
        <w:gridCol w:w="1169"/>
        <w:gridCol w:w="2919"/>
        <w:gridCol w:w="1751"/>
      </w:tblGrid>
      <w:tr w:rsidR="00381ACE" w:rsidRPr="000C4C98" w:rsidTr="007C627B">
        <w:trPr>
          <w:trHeight w:val="375"/>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ACE" w:rsidRPr="000C4C98" w:rsidRDefault="00381ACE" w:rsidP="007C627B">
            <w:pPr>
              <w:spacing w:after="0" w:line="360" w:lineRule="auto"/>
              <w:ind w:right="67"/>
              <w:jc w:val="center"/>
              <w:rPr>
                <w:rFonts w:ascii="Bookman Old Style" w:hAnsi="Bookman Old Style"/>
                <w:b/>
                <w:bCs/>
                <w:i/>
                <w:color w:val="000000" w:themeColor="text1"/>
                <w:sz w:val="18"/>
                <w:szCs w:val="18"/>
                <w:lang w:eastAsia="en-IN"/>
              </w:rPr>
            </w:pPr>
            <w:r w:rsidRPr="000C4C98">
              <w:rPr>
                <w:rFonts w:ascii="Bookman Old Style" w:hAnsi="Bookman Old Style"/>
                <w:b/>
                <w:bCs/>
                <w:i/>
                <w:color w:val="000000" w:themeColor="text1"/>
                <w:sz w:val="18"/>
                <w:szCs w:val="18"/>
                <w:lang w:eastAsia="en-IN"/>
              </w:rPr>
              <w:t>Year</w:t>
            </w:r>
          </w:p>
        </w:tc>
        <w:tc>
          <w:tcPr>
            <w:tcW w:w="2919" w:type="dxa"/>
            <w:tcBorders>
              <w:top w:val="single" w:sz="4" w:space="0" w:color="auto"/>
              <w:left w:val="nil"/>
              <w:bottom w:val="single" w:sz="4" w:space="0" w:color="auto"/>
              <w:right w:val="single" w:sz="4" w:space="0" w:color="auto"/>
            </w:tcBorders>
            <w:shd w:val="clear" w:color="auto" w:fill="auto"/>
            <w:vAlign w:val="center"/>
            <w:hideMark/>
          </w:tcPr>
          <w:p w:rsidR="00381ACE" w:rsidRPr="000C4C98" w:rsidRDefault="00381ACE" w:rsidP="007C627B">
            <w:pPr>
              <w:spacing w:after="0" w:line="360" w:lineRule="auto"/>
              <w:ind w:right="67"/>
              <w:jc w:val="center"/>
              <w:rPr>
                <w:rFonts w:ascii="Bookman Old Style" w:hAnsi="Bookman Old Style"/>
                <w:b/>
                <w:bCs/>
                <w:i/>
                <w:color w:val="000000" w:themeColor="text1"/>
                <w:sz w:val="18"/>
                <w:szCs w:val="18"/>
                <w:lang w:eastAsia="en-IN"/>
              </w:rPr>
            </w:pPr>
            <w:r w:rsidRPr="000C4C98">
              <w:rPr>
                <w:rFonts w:ascii="Bookman Old Style" w:hAnsi="Bookman Old Style"/>
                <w:b/>
                <w:bCs/>
                <w:i/>
                <w:color w:val="000000" w:themeColor="text1"/>
                <w:sz w:val="18"/>
                <w:szCs w:val="18"/>
                <w:lang w:eastAsia="en-IN"/>
              </w:rPr>
              <w:t>Nomenclature</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381ACE" w:rsidRPr="000C4C98" w:rsidRDefault="00381ACE" w:rsidP="007C627B">
            <w:pPr>
              <w:spacing w:after="0" w:line="360" w:lineRule="auto"/>
              <w:ind w:right="67"/>
              <w:jc w:val="center"/>
              <w:rPr>
                <w:rFonts w:ascii="Bookman Old Style" w:hAnsi="Bookman Old Style"/>
                <w:b/>
                <w:bCs/>
                <w:i/>
                <w:color w:val="000000" w:themeColor="text1"/>
                <w:sz w:val="18"/>
                <w:szCs w:val="18"/>
                <w:lang w:eastAsia="en-IN"/>
              </w:rPr>
            </w:pPr>
            <w:r w:rsidRPr="000C4C98">
              <w:rPr>
                <w:rFonts w:ascii="Bookman Old Style" w:hAnsi="Bookman Old Style"/>
                <w:b/>
                <w:bCs/>
                <w:i/>
                <w:color w:val="000000" w:themeColor="text1"/>
                <w:sz w:val="18"/>
                <w:szCs w:val="18"/>
                <w:lang w:eastAsia="en-IN"/>
              </w:rPr>
              <w:t>Amount in Crs.</w:t>
            </w:r>
          </w:p>
        </w:tc>
      </w:tr>
      <w:tr w:rsidR="00381ACE" w:rsidRPr="000C4C98" w:rsidTr="0033491E">
        <w:trPr>
          <w:trHeight w:val="234"/>
          <w:jc w:val="center"/>
        </w:trPr>
        <w:tc>
          <w:tcPr>
            <w:tcW w:w="1169" w:type="dxa"/>
            <w:tcBorders>
              <w:top w:val="nil"/>
              <w:left w:val="single" w:sz="4" w:space="0" w:color="auto"/>
              <w:bottom w:val="single" w:sz="4" w:space="0" w:color="auto"/>
              <w:right w:val="single" w:sz="4" w:space="0" w:color="auto"/>
            </w:tcBorders>
            <w:shd w:val="clear" w:color="auto" w:fill="auto"/>
            <w:vAlign w:val="bottom"/>
            <w:hideMark/>
          </w:tcPr>
          <w:p w:rsidR="00381ACE" w:rsidRPr="000C4C98" w:rsidRDefault="00381ACE" w:rsidP="0033491E">
            <w:pPr>
              <w:spacing w:after="0" w:line="360" w:lineRule="auto"/>
              <w:ind w:right="67"/>
              <w:jc w:val="center"/>
              <w:rPr>
                <w:rFonts w:ascii="Bookman Old Style" w:hAnsi="Bookman Old Style"/>
                <w:i/>
                <w:color w:val="000000" w:themeColor="text1"/>
                <w:sz w:val="18"/>
                <w:szCs w:val="18"/>
                <w:lang w:eastAsia="en-IN"/>
              </w:rPr>
            </w:pPr>
            <w:r w:rsidRPr="000C4C98">
              <w:rPr>
                <w:rFonts w:ascii="Bookman Old Style" w:hAnsi="Bookman Old Style"/>
                <w:i/>
                <w:color w:val="000000" w:themeColor="text1"/>
                <w:sz w:val="18"/>
                <w:szCs w:val="18"/>
                <w:lang w:eastAsia="en-IN"/>
              </w:rPr>
              <w:t>2011-12</w:t>
            </w:r>
          </w:p>
        </w:tc>
        <w:tc>
          <w:tcPr>
            <w:tcW w:w="2919" w:type="dxa"/>
            <w:tcBorders>
              <w:top w:val="nil"/>
              <w:left w:val="nil"/>
              <w:bottom w:val="single" w:sz="4" w:space="0" w:color="auto"/>
              <w:right w:val="single" w:sz="4" w:space="0" w:color="auto"/>
            </w:tcBorders>
            <w:shd w:val="clear" w:color="auto" w:fill="auto"/>
            <w:vAlign w:val="bottom"/>
            <w:hideMark/>
          </w:tcPr>
          <w:p w:rsidR="00381ACE" w:rsidRPr="000C4C98" w:rsidRDefault="00381ACE" w:rsidP="0033491E">
            <w:pPr>
              <w:spacing w:after="0" w:line="360" w:lineRule="auto"/>
              <w:ind w:right="67"/>
              <w:jc w:val="center"/>
              <w:rPr>
                <w:rFonts w:ascii="Bookman Old Style" w:hAnsi="Bookman Old Style"/>
                <w:i/>
                <w:color w:val="000000" w:themeColor="text1"/>
                <w:sz w:val="18"/>
                <w:szCs w:val="18"/>
                <w:lang w:eastAsia="en-IN"/>
              </w:rPr>
            </w:pPr>
            <w:r w:rsidRPr="000C4C98">
              <w:rPr>
                <w:rFonts w:ascii="Bookman Old Style" w:hAnsi="Bookman Old Style"/>
                <w:i/>
                <w:color w:val="000000" w:themeColor="text1"/>
                <w:sz w:val="18"/>
                <w:szCs w:val="18"/>
                <w:lang w:eastAsia="en-IN"/>
              </w:rPr>
              <w:t>Subsidy received from GOK</w:t>
            </w:r>
          </w:p>
        </w:tc>
        <w:tc>
          <w:tcPr>
            <w:tcW w:w="1751" w:type="dxa"/>
            <w:tcBorders>
              <w:top w:val="nil"/>
              <w:left w:val="nil"/>
              <w:bottom w:val="single" w:sz="4" w:space="0" w:color="auto"/>
              <w:right w:val="single" w:sz="4" w:space="0" w:color="auto"/>
            </w:tcBorders>
            <w:shd w:val="clear" w:color="auto" w:fill="auto"/>
            <w:vAlign w:val="bottom"/>
            <w:hideMark/>
          </w:tcPr>
          <w:p w:rsidR="00381ACE" w:rsidRPr="000C4C98" w:rsidRDefault="00381ACE" w:rsidP="0033491E">
            <w:pPr>
              <w:spacing w:after="0" w:line="360" w:lineRule="auto"/>
              <w:ind w:right="67"/>
              <w:jc w:val="center"/>
              <w:rPr>
                <w:rFonts w:ascii="Bookman Old Style" w:hAnsi="Bookman Old Style"/>
                <w:i/>
                <w:color w:val="000000" w:themeColor="text1"/>
                <w:sz w:val="18"/>
                <w:szCs w:val="18"/>
                <w:lang w:eastAsia="en-IN"/>
              </w:rPr>
            </w:pPr>
            <w:r w:rsidRPr="000C4C98">
              <w:rPr>
                <w:rFonts w:ascii="Bookman Old Style" w:hAnsi="Bookman Old Style"/>
                <w:i/>
                <w:color w:val="000000" w:themeColor="text1"/>
                <w:sz w:val="18"/>
                <w:szCs w:val="18"/>
                <w:lang w:eastAsia="en-IN"/>
              </w:rPr>
              <w:t>10.93</w:t>
            </w:r>
          </w:p>
        </w:tc>
      </w:tr>
      <w:tr w:rsidR="00381ACE" w:rsidRPr="000C4C98" w:rsidTr="0033491E">
        <w:trPr>
          <w:trHeight w:val="234"/>
          <w:jc w:val="center"/>
        </w:trPr>
        <w:tc>
          <w:tcPr>
            <w:tcW w:w="1169" w:type="dxa"/>
            <w:tcBorders>
              <w:top w:val="nil"/>
              <w:left w:val="single" w:sz="4" w:space="0" w:color="auto"/>
              <w:bottom w:val="single" w:sz="4" w:space="0" w:color="auto"/>
              <w:right w:val="single" w:sz="4" w:space="0" w:color="auto"/>
            </w:tcBorders>
            <w:shd w:val="clear" w:color="auto" w:fill="auto"/>
            <w:vAlign w:val="bottom"/>
            <w:hideMark/>
          </w:tcPr>
          <w:p w:rsidR="00381ACE" w:rsidRPr="000C4C98" w:rsidRDefault="00381ACE" w:rsidP="0033491E">
            <w:pPr>
              <w:spacing w:after="0" w:line="360" w:lineRule="auto"/>
              <w:ind w:right="67"/>
              <w:jc w:val="center"/>
              <w:rPr>
                <w:rFonts w:ascii="Bookman Old Style" w:hAnsi="Bookman Old Style"/>
                <w:i/>
                <w:color w:val="000000" w:themeColor="text1"/>
                <w:sz w:val="18"/>
                <w:szCs w:val="18"/>
                <w:lang w:eastAsia="en-IN"/>
              </w:rPr>
            </w:pPr>
            <w:r w:rsidRPr="000C4C98">
              <w:rPr>
                <w:rFonts w:ascii="Bookman Old Style" w:hAnsi="Bookman Old Style"/>
                <w:i/>
                <w:color w:val="000000" w:themeColor="text1"/>
                <w:sz w:val="18"/>
                <w:szCs w:val="18"/>
                <w:lang w:eastAsia="en-IN"/>
              </w:rPr>
              <w:t>2012-13</w:t>
            </w:r>
          </w:p>
        </w:tc>
        <w:tc>
          <w:tcPr>
            <w:tcW w:w="2919" w:type="dxa"/>
            <w:tcBorders>
              <w:top w:val="nil"/>
              <w:left w:val="nil"/>
              <w:bottom w:val="single" w:sz="4" w:space="0" w:color="auto"/>
              <w:right w:val="single" w:sz="4" w:space="0" w:color="auto"/>
            </w:tcBorders>
            <w:shd w:val="clear" w:color="auto" w:fill="auto"/>
            <w:vAlign w:val="bottom"/>
            <w:hideMark/>
          </w:tcPr>
          <w:p w:rsidR="00381ACE" w:rsidRPr="000C4C98" w:rsidRDefault="00381ACE" w:rsidP="0033491E">
            <w:pPr>
              <w:spacing w:after="0" w:line="360" w:lineRule="auto"/>
              <w:ind w:right="67"/>
              <w:jc w:val="center"/>
              <w:rPr>
                <w:rFonts w:ascii="Bookman Old Style" w:hAnsi="Bookman Old Style"/>
                <w:i/>
                <w:color w:val="000000" w:themeColor="text1"/>
                <w:sz w:val="18"/>
                <w:szCs w:val="18"/>
                <w:lang w:eastAsia="en-IN"/>
              </w:rPr>
            </w:pPr>
            <w:r w:rsidRPr="000C4C98">
              <w:rPr>
                <w:rFonts w:ascii="Bookman Old Style" w:hAnsi="Bookman Old Style"/>
                <w:i/>
                <w:color w:val="000000" w:themeColor="text1"/>
                <w:sz w:val="18"/>
                <w:szCs w:val="18"/>
                <w:lang w:eastAsia="en-IN"/>
              </w:rPr>
              <w:t>Subsidy received from GOK</w:t>
            </w:r>
          </w:p>
        </w:tc>
        <w:tc>
          <w:tcPr>
            <w:tcW w:w="1751" w:type="dxa"/>
            <w:tcBorders>
              <w:top w:val="nil"/>
              <w:left w:val="nil"/>
              <w:bottom w:val="single" w:sz="4" w:space="0" w:color="auto"/>
              <w:right w:val="single" w:sz="4" w:space="0" w:color="auto"/>
            </w:tcBorders>
            <w:shd w:val="clear" w:color="auto" w:fill="auto"/>
            <w:vAlign w:val="bottom"/>
            <w:hideMark/>
          </w:tcPr>
          <w:p w:rsidR="00381ACE" w:rsidRPr="000C4C98" w:rsidRDefault="00381ACE" w:rsidP="0033491E">
            <w:pPr>
              <w:spacing w:after="0" w:line="360" w:lineRule="auto"/>
              <w:ind w:right="67"/>
              <w:jc w:val="center"/>
              <w:rPr>
                <w:rFonts w:ascii="Bookman Old Style" w:hAnsi="Bookman Old Style"/>
                <w:i/>
                <w:color w:val="000000" w:themeColor="text1"/>
                <w:sz w:val="18"/>
                <w:szCs w:val="18"/>
                <w:lang w:eastAsia="en-IN"/>
              </w:rPr>
            </w:pPr>
            <w:r w:rsidRPr="000C4C98">
              <w:rPr>
                <w:rFonts w:ascii="Bookman Old Style" w:hAnsi="Bookman Old Style"/>
                <w:i/>
                <w:color w:val="000000" w:themeColor="text1"/>
                <w:sz w:val="18"/>
                <w:szCs w:val="18"/>
                <w:lang w:eastAsia="en-IN"/>
              </w:rPr>
              <w:t>10.38</w:t>
            </w:r>
          </w:p>
        </w:tc>
      </w:tr>
      <w:tr w:rsidR="00381ACE" w:rsidRPr="000C4C98" w:rsidTr="0033491E">
        <w:trPr>
          <w:trHeight w:val="234"/>
          <w:jc w:val="center"/>
        </w:trPr>
        <w:tc>
          <w:tcPr>
            <w:tcW w:w="1169" w:type="dxa"/>
            <w:tcBorders>
              <w:top w:val="nil"/>
              <w:left w:val="single" w:sz="4" w:space="0" w:color="auto"/>
              <w:bottom w:val="single" w:sz="4" w:space="0" w:color="auto"/>
              <w:right w:val="single" w:sz="4" w:space="0" w:color="auto"/>
            </w:tcBorders>
            <w:shd w:val="clear" w:color="auto" w:fill="auto"/>
            <w:vAlign w:val="bottom"/>
            <w:hideMark/>
          </w:tcPr>
          <w:p w:rsidR="00381ACE" w:rsidRPr="000C4C98" w:rsidRDefault="00381ACE" w:rsidP="0033491E">
            <w:pPr>
              <w:spacing w:after="0" w:line="360" w:lineRule="auto"/>
              <w:ind w:right="67"/>
              <w:jc w:val="center"/>
              <w:rPr>
                <w:rFonts w:ascii="Bookman Old Style" w:hAnsi="Bookman Old Style"/>
                <w:i/>
                <w:color w:val="000000" w:themeColor="text1"/>
                <w:sz w:val="18"/>
                <w:szCs w:val="18"/>
                <w:lang w:eastAsia="en-IN"/>
              </w:rPr>
            </w:pPr>
            <w:r w:rsidRPr="000C4C98">
              <w:rPr>
                <w:rFonts w:ascii="Bookman Old Style" w:hAnsi="Bookman Old Style"/>
                <w:i/>
                <w:color w:val="000000" w:themeColor="text1"/>
                <w:sz w:val="18"/>
                <w:szCs w:val="18"/>
                <w:lang w:eastAsia="en-IN"/>
              </w:rPr>
              <w:t>2013-14</w:t>
            </w:r>
          </w:p>
        </w:tc>
        <w:tc>
          <w:tcPr>
            <w:tcW w:w="2919" w:type="dxa"/>
            <w:tcBorders>
              <w:top w:val="nil"/>
              <w:left w:val="nil"/>
              <w:bottom w:val="single" w:sz="4" w:space="0" w:color="auto"/>
              <w:right w:val="single" w:sz="4" w:space="0" w:color="auto"/>
            </w:tcBorders>
            <w:shd w:val="clear" w:color="auto" w:fill="auto"/>
            <w:vAlign w:val="bottom"/>
            <w:hideMark/>
          </w:tcPr>
          <w:p w:rsidR="00381ACE" w:rsidRPr="000C4C98" w:rsidRDefault="00381ACE" w:rsidP="0033491E">
            <w:pPr>
              <w:spacing w:after="0" w:line="360" w:lineRule="auto"/>
              <w:ind w:right="67"/>
              <w:jc w:val="center"/>
              <w:rPr>
                <w:rFonts w:ascii="Bookman Old Style" w:hAnsi="Bookman Old Style"/>
                <w:i/>
                <w:color w:val="000000" w:themeColor="text1"/>
                <w:sz w:val="18"/>
                <w:szCs w:val="18"/>
                <w:lang w:eastAsia="en-IN"/>
              </w:rPr>
            </w:pPr>
            <w:r w:rsidRPr="000C4C98">
              <w:rPr>
                <w:rFonts w:ascii="Bookman Old Style" w:hAnsi="Bookman Old Style"/>
                <w:i/>
                <w:color w:val="000000" w:themeColor="text1"/>
                <w:sz w:val="18"/>
                <w:szCs w:val="18"/>
                <w:lang w:eastAsia="en-IN"/>
              </w:rPr>
              <w:t>Subsidy received from GOK</w:t>
            </w:r>
          </w:p>
        </w:tc>
        <w:tc>
          <w:tcPr>
            <w:tcW w:w="1751" w:type="dxa"/>
            <w:tcBorders>
              <w:top w:val="nil"/>
              <w:left w:val="nil"/>
              <w:bottom w:val="single" w:sz="4" w:space="0" w:color="auto"/>
              <w:right w:val="single" w:sz="4" w:space="0" w:color="auto"/>
            </w:tcBorders>
            <w:shd w:val="clear" w:color="auto" w:fill="auto"/>
            <w:vAlign w:val="bottom"/>
            <w:hideMark/>
          </w:tcPr>
          <w:p w:rsidR="00381ACE" w:rsidRPr="000C4C98" w:rsidRDefault="00381ACE" w:rsidP="0033491E">
            <w:pPr>
              <w:spacing w:after="0" w:line="360" w:lineRule="auto"/>
              <w:ind w:right="67"/>
              <w:jc w:val="center"/>
              <w:rPr>
                <w:rFonts w:ascii="Bookman Old Style" w:hAnsi="Bookman Old Style"/>
                <w:i/>
                <w:color w:val="000000" w:themeColor="text1"/>
                <w:sz w:val="18"/>
                <w:szCs w:val="18"/>
                <w:lang w:eastAsia="en-IN"/>
              </w:rPr>
            </w:pPr>
            <w:r w:rsidRPr="000C4C98">
              <w:rPr>
                <w:rFonts w:ascii="Bookman Old Style" w:hAnsi="Bookman Old Style"/>
                <w:i/>
                <w:color w:val="000000" w:themeColor="text1"/>
                <w:sz w:val="18"/>
                <w:szCs w:val="18"/>
                <w:lang w:eastAsia="en-IN"/>
              </w:rPr>
              <w:t>9.85</w:t>
            </w:r>
          </w:p>
        </w:tc>
      </w:tr>
      <w:tr w:rsidR="00381ACE" w:rsidRPr="000C4C98" w:rsidTr="0033491E">
        <w:trPr>
          <w:trHeight w:val="234"/>
          <w:jc w:val="center"/>
        </w:trPr>
        <w:tc>
          <w:tcPr>
            <w:tcW w:w="1169" w:type="dxa"/>
            <w:tcBorders>
              <w:top w:val="nil"/>
              <w:left w:val="single" w:sz="4" w:space="0" w:color="auto"/>
              <w:bottom w:val="single" w:sz="4" w:space="0" w:color="auto"/>
              <w:right w:val="single" w:sz="4" w:space="0" w:color="auto"/>
            </w:tcBorders>
            <w:shd w:val="clear" w:color="auto" w:fill="auto"/>
            <w:vAlign w:val="bottom"/>
            <w:hideMark/>
          </w:tcPr>
          <w:p w:rsidR="00381ACE" w:rsidRPr="000C4C98" w:rsidRDefault="00381ACE" w:rsidP="0033491E">
            <w:pPr>
              <w:spacing w:after="0" w:line="360" w:lineRule="auto"/>
              <w:ind w:right="67"/>
              <w:jc w:val="center"/>
              <w:rPr>
                <w:rFonts w:ascii="Bookman Old Style" w:hAnsi="Bookman Old Style"/>
                <w:b/>
                <w:bCs/>
                <w:i/>
                <w:color w:val="000000" w:themeColor="text1"/>
                <w:sz w:val="18"/>
                <w:szCs w:val="18"/>
                <w:lang w:eastAsia="en-IN"/>
              </w:rPr>
            </w:pPr>
            <w:r w:rsidRPr="000C4C98">
              <w:rPr>
                <w:rFonts w:ascii="Bookman Old Style" w:hAnsi="Bookman Old Style"/>
                <w:b/>
                <w:bCs/>
                <w:i/>
                <w:color w:val="000000" w:themeColor="text1"/>
                <w:sz w:val="18"/>
                <w:szCs w:val="18"/>
                <w:lang w:eastAsia="en-IN"/>
              </w:rPr>
              <w:t>Total</w:t>
            </w:r>
          </w:p>
        </w:tc>
        <w:tc>
          <w:tcPr>
            <w:tcW w:w="2919" w:type="dxa"/>
            <w:tcBorders>
              <w:top w:val="nil"/>
              <w:left w:val="nil"/>
              <w:bottom w:val="single" w:sz="4" w:space="0" w:color="auto"/>
              <w:right w:val="single" w:sz="4" w:space="0" w:color="auto"/>
            </w:tcBorders>
            <w:shd w:val="clear" w:color="auto" w:fill="auto"/>
            <w:vAlign w:val="bottom"/>
            <w:hideMark/>
          </w:tcPr>
          <w:p w:rsidR="00381ACE" w:rsidRPr="000C4C98" w:rsidRDefault="00381ACE" w:rsidP="0033491E">
            <w:pPr>
              <w:spacing w:after="0" w:line="360" w:lineRule="auto"/>
              <w:ind w:right="67"/>
              <w:jc w:val="center"/>
              <w:rPr>
                <w:rFonts w:ascii="Bookman Old Style" w:hAnsi="Bookman Old Style"/>
                <w:b/>
                <w:bCs/>
                <w:i/>
                <w:color w:val="000000" w:themeColor="text1"/>
                <w:sz w:val="18"/>
                <w:szCs w:val="18"/>
                <w:lang w:eastAsia="en-IN"/>
              </w:rPr>
            </w:pPr>
          </w:p>
        </w:tc>
        <w:tc>
          <w:tcPr>
            <w:tcW w:w="1751" w:type="dxa"/>
            <w:tcBorders>
              <w:top w:val="nil"/>
              <w:left w:val="nil"/>
              <w:bottom w:val="single" w:sz="4" w:space="0" w:color="auto"/>
              <w:right w:val="single" w:sz="4" w:space="0" w:color="auto"/>
            </w:tcBorders>
            <w:shd w:val="clear" w:color="auto" w:fill="auto"/>
            <w:vAlign w:val="bottom"/>
            <w:hideMark/>
          </w:tcPr>
          <w:p w:rsidR="00381ACE" w:rsidRPr="000C4C98" w:rsidRDefault="00381ACE" w:rsidP="0033491E">
            <w:pPr>
              <w:spacing w:after="0" w:line="360" w:lineRule="auto"/>
              <w:ind w:right="67"/>
              <w:jc w:val="center"/>
              <w:rPr>
                <w:rFonts w:ascii="Bookman Old Style" w:hAnsi="Bookman Old Style"/>
                <w:b/>
                <w:bCs/>
                <w:i/>
                <w:color w:val="000000" w:themeColor="text1"/>
                <w:sz w:val="18"/>
                <w:szCs w:val="18"/>
                <w:lang w:eastAsia="en-IN"/>
              </w:rPr>
            </w:pPr>
            <w:r w:rsidRPr="000C4C98">
              <w:rPr>
                <w:rFonts w:ascii="Bookman Old Style" w:hAnsi="Bookman Old Style"/>
                <w:b/>
                <w:bCs/>
                <w:i/>
                <w:color w:val="000000" w:themeColor="text1"/>
                <w:sz w:val="18"/>
                <w:szCs w:val="18"/>
                <w:lang w:eastAsia="en-IN"/>
              </w:rPr>
              <w:t>31.16</w:t>
            </w:r>
          </w:p>
        </w:tc>
      </w:tr>
    </w:tbl>
    <w:p w:rsidR="00381ACE" w:rsidRPr="000C4C98" w:rsidRDefault="00381ACE" w:rsidP="00717D3E">
      <w:pPr>
        <w:pStyle w:val="BodyText"/>
        <w:ind w:right="67"/>
        <w:rPr>
          <w:rFonts w:ascii="Bookman Old Style" w:hAnsi="Bookman Old Style"/>
          <w:iCs/>
          <w:color w:val="000000" w:themeColor="text1"/>
        </w:rPr>
      </w:pPr>
    </w:p>
    <w:p w:rsidR="00381ACE" w:rsidRPr="000C4C98" w:rsidRDefault="00381ACE" w:rsidP="00717D3E">
      <w:pPr>
        <w:spacing w:line="360" w:lineRule="auto"/>
        <w:ind w:right="67"/>
        <w:jc w:val="both"/>
        <w:rPr>
          <w:rFonts w:ascii="Bookman Old Style" w:eastAsia="Century Gothic" w:hAnsi="Bookman Old Style" w:cs="Century Gothic"/>
          <w:color w:val="000000" w:themeColor="text1"/>
        </w:rPr>
      </w:pPr>
      <w:r w:rsidRPr="000C4C98">
        <w:rPr>
          <w:rFonts w:ascii="Bookman Old Style" w:eastAsia="Century Gothic" w:hAnsi="Bookman Old Style" w:cs="Century Gothic"/>
          <w:color w:val="000000" w:themeColor="text1"/>
        </w:rPr>
        <w:t xml:space="preserve">Since the amount is credited to other income, Commission has already considered the amount as a reduction in ARR of respective years for truing of respective years, BESCOM requests the Commission to credit this amount against the capitalized consumer security deposit and balance to be considered as reduction in the equity. It is submitted that, Hon’ble Appellate Tribunal for Electricity ruled in the appeal No. 46/2014 that the State Commission is not bound to follow the audited accounts and the State Commission can scrutinize the same and allow the expenditure only after prudence check.  </w:t>
      </w:r>
    </w:p>
    <w:p w:rsidR="00381ACE" w:rsidRDefault="00381ACE" w:rsidP="00717D3E">
      <w:pPr>
        <w:spacing w:line="360" w:lineRule="auto"/>
        <w:ind w:right="67"/>
        <w:jc w:val="both"/>
        <w:rPr>
          <w:rFonts w:ascii="Bookman Old Style" w:eastAsia="Century Gothic" w:hAnsi="Bookman Old Style" w:cs="Century Gothic"/>
          <w:color w:val="000000" w:themeColor="text1"/>
        </w:rPr>
      </w:pPr>
      <w:r w:rsidRPr="000C4C98">
        <w:rPr>
          <w:rFonts w:ascii="Bookman Old Style" w:eastAsia="Century Gothic" w:hAnsi="Bookman Old Style" w:cs="Century Gothic"/>
          <w:color w:val="000000" w:themeColor="text1"/>
        </w:rPr>
        <w:t>Commission is requested to look into the accounts submitted by the Commission for the year FY-12, FY-13 and FY-14 and to consider the BESCOMs request. Amount to be considered for reduction is tabulated below:</w:t>
      </w:r>
    </w:p>
    <w:p w:rsidR="001F0DC3" w:rsidRPr="000C4C98" w:rsidRDefault="001F0DC3" w:rsidP="001F0DC3">
      <w:pPr>
        <w:spacing w:line="360" w:lineRule="auto"/>
        <w:ind w:right="67"/>
        <w:jc w:val="center"/>
        <w:rPr>
          <w:rFonts w:ascii="Bookman Old Style" w:eastAsia="Century Gothic" w:hAnsi="Bookman Old Style" w:cs="Century Gothic"/>
          <w:color w:val="000000" w:themeColor="text1"/>
        </w:rPr>
      </w:pPr>
      <w:r>
        <w:rPr>
          <w:rFonts w:ascii="Bookman Old Style" w:eastAsia="Century Gothic" w:hAnsi="Bookman Old Style" w:cs="Century Gothic"/>
          <w:b/>
          <w:i/>
          <w:color w:val="000000" w:themeColor="text1"/>
          <w:sz w:val="18"/>
          <w:szCs w:val="18"/>
        </w:rPr>
        <w:lastRenderedPageBreak/>
        <w:t>TABLE – 3.44</w:t>
      </w:r>
    </w:p>
    <w:tbl>
      <w:tblPr>
        <w:tblW w:w="6863" w:type="dxa"/>
        <w:jc w:val="center"/>
        <w:tblLook w:val="04A0" w:firstRow="1" w:lastRow="0" w:firstColumn="1" w:lastColumn="0" w:noHBand="0" w:noVBand="1"/>
      </w:tblPr>
      <w:tblGrid>
        <w:gridCol w:w="870"/>
        <w:gridCol w:w="4434"/>
        <w:gridCol w:w="1559"/>
      </w:tblGrid>
      <w:tr w:rsidR="00381ACE" w:rsidRPr="000C4C98" w:rsidTr="00793F14">
        <w:trPr>
          <w:trHeight w:val="457"/>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ACE" w:rsidRPr="000C4C98" w:rsidRDefault="00381ACE" w:rsidP="002851B1">
            <w:pPr>
              <w:spacing w:after="0" w:line="360" w:lineRule="auto"/>
              <w:ind w:right="67"/>
              <w:jc w:val="center"/>
              <w:rPr>
                <w:rFonts w:ascii="Bookman Old Style" w:hAnsi="Bookman Old Style"/>
                <w:b/>
                <w:bCs/>
                <w:i/>
                <w:color w:val="000000" w:themeColor="text1"/>
                <w:sz w:val="18"/>
                <w:szCs w:val="18"/>
                <w:lang w:eastAsia="en-IN"/>
              </w:rPr>
            </w:pPr>
            <w:r w:rsidRPr="000C4C98">
              <w:rPr>
                <w:rFonts w:ascii="Bookman Old Style" w:hAnsi="Bookman Old Style"/>
                <w:b/>
                <w:bCs/>
                <w:i/>
                <w:color w:val="000000" w:themeColor="text1"/>
                <w:sz w:val="18"/>
                <w:szCs w:val="18"/>
                <w:lang w:eastAsia="en-IN"/>
              </w:rPr>
              <w:t>Sl.N</w:t>
            </w:r>
            <w:r w:rsidR="002851B1">
              <w:rPr>
                <w:rFonts w:ascii="Bookman Old Style" w:hAnsi="Bookman Old Style"/>
                <w:b/>
                <w:bCs/>
                <w:i/>
                <w:color w:val="000000" w:themeColor="text1"/>
                <w:sz w:val="18"/>
                <w:szCs w:val="18"/>
                <w:lang w:eastAsia="en-IN"/>
              </w:rPr>
              <w:t>o</w:t>
            </w:r>
            <w:r w:rsidRPr="000C4C98">
              <w:rPr>
                <w:rFonts w:ascii="Bookman Old Style" w:hAnsi="Bookman Old Style"/>
                <w:b/>
                <w:bCs/>
                <w:i/>
                <w:color w:val="000000" w:themeColor="text1"/>
                <w:sz w:val="18"/>
                <w:szCs w:val="18"/>
                <w:lang w:eastAsia="en-IN"/>
              </w:rPr>
              <w:t>.</w:t>
            </w:r>
          </w:p>
        </w:tc>
        <w:tc>
          <w:tcPr>
            <w:tcW w:w="4434" w:type="dxa"/>
            <w:tcBorders>
              <w:top w:val="single" w:sz="4" w:space="0" w:color="auto"/>
              <w:left w:val="nil"/>
              <w:bottom w:val="single" w:sz="4" w:space="0" w:color="auto"/>
              <w:right w:val="single" w:sz="4" w:space="0" w:color="auto"/>
            </w:tcBorders>
            <w:shd w:val="clear" w:color="auto" w:fill="auto"/>
            <w:vAlign w:val="center"/>
            <w:hideMark/>
          </w:tcPr>
          <w:p w:rsidR="00381ACE" w:rsidRPr="000C4C98" w:rsidRDefault="00381ACE" w:rsidP="007C627B">
            <w:pPr>
              <w:spacing w:after="0" w:line="360" w:lineRule="auto"/>
              <w:ind w:right="67"/>
              <w:jc w:val="center"/>
              <w:rPr>
                <w:rFonts w:ascii="Bookman Old Style" w:hAnsi="Bookman Old Style"/>
                <w:b/>
                <w:bCs/>
                <w:i/>
                <w:color w:val="000000" w:themeColor="text1"/>
                <w:sz w:val="18"/>
                <w:szCs w:val="18"/>
                <w:lang w:eastAsia="en-IN"/>
              </w:rPr>
            </w:pPr>
            <w:r w:rsidRPr="000C4C98">
              <w:rPr>
                <w:rFonts w:ascii="Bookman Old Style" w:hAnsi="Bookman Old Style"/>
                <w:b/>
                <w:bCs/>
                <w:i/>
                <w:color w:val="000000" w:themeColor="text1"/>
                <w:sz w:val="18"/>
                <w:szCs w:val="18"/>
                <w:lang w:eastAsia="en-IN"/>
              </w:rPr>
              <w:t>Particulars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81ACE" w:rsidRPr="000C4C98" w:rsidRDefault="00381ACE" w:rsidP="007C627B">
            <w:pPr>
              <w:spacing w:after="0" w:line="360" w:lineRule="auto"/>
              <w:ind w:right="67"/>
              <w:jc w:val="center"/>
              <w:rPr>
                <w:rFonts w:ascii="Bookman Old Style" w:hAnsi="Bookman Old Style"/>
                <w:b/>
                <w:bCs/>
                <w:i/>
                <w:color w:val="000000" w:themeColor="text1"/>
                <w:sz w:val="18"/>
                <w:szCs w:val="18"/>
                <w:lang w:eastAsia="en-IN"/>
              </w:rPr>
            </w:pPr>
            <w:r w:rsidRPr="000C4C98">
              <w:rPr>
                <w:rFonts w:ascii="Bookman Old Style" w:hAnsi="Bookman Old Style"/>
                <w:b/>
                <w:bCs/>
                <w:i/>
                <w:color w:val="000000" w:themeColor="text1"/>
                <w:sz w:val="18"/>
                <w:szCs w:val="18"/>
                <w:lang w:eastAsia="en-IN"/>
              </w:rPr>
              <w:t>Amount in Crs.</w:t>
            </w:r>
          </w:p>
        </w:tc>
      </w:tr>
      <w:tr w:rsidR="00381ACE" w:rsidRPr="000C4C98" w:rsidTr="00793F14">
        <w:trPr>
          <w:trHeight w:val="286"/>
          <w:jc w:val="center"/>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381ACE" w:rsidRPr="000C4C98" w:rsidRDefault="00381ACE" w:rsidP="007C627B">
            <w:pPr>
              <w:spacing w:after="0" w:line="360" w:lineRule="auto"/>
              <w:ind w:right="67"/>
              <w:jc w:val="center"/>
              <w:rPr>
                <w:rFonts w:ascii="Bookman Old Style" w:hAnsi="Bookman Old Style"/>
                <w:i/>
                <w:color w:val="000000" w:themeColor="text1"/>
                <w:sz w:val="18"/>
                <w:szCs w:val="18"/>
                <w:lang w:eastAsia="en-IN"/>
              </w:rPr>
            </w:pPr>
            <w:r w:rsidRPr="000C4C98">
              <w:rPr>
                <w:rFonts w:ascii="Bookman Old Style" w:hAnsi="Bookman Old Style"/>
                <w:i/>
                <w:color w:val="000000" w:themeColor="text1"/>
                <w:sz w:val="18"/>
                <w:szCs w:val="18"/>
                <w:lang w:eastAsia="en-IN"/>
              </w:rPr>
              <w:t>1</w:t>
            </w:r>
          </w:p>
        </w:tc>
        <w:tc>
          <w:tcPr>
            <w:tcW w:w="4434"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7C627B">
            <w:pPr>
              <w:spacing w:after="0" w:line="360" w:lineRule="auto"/>
              <w:ind w:right="67"/>
              <w:jc w:val="both"/>
              <w:rPr>
                <w:rFonts w:ascii="Bookman Old Style" w:hAnsi="Bookman Old Style"/>
                <w:i/>
                <w:color w:val="000000" w:themeColor="text1"/>
                <w:sz w:val="18"/>
                <w:szCs w:val="18"/>
                <w:lang w:eastAsia="en-IN"/>
              </w:rPr>
            </w:pPr>
            <w:r w:rsidRPr="000C4C98">
              <w:rPr>
                <w:rFonts w:ascii="Bookman Old Style" w:hAnsi="Bookman Old Style"/>
                <w:i/>
                <w:color w:val="000000" w:themeColor="text1"/>
                <w:sz w:val="18"/>
                <w:szCs w:val="18"/>
                <w:lang w:eastAsia="en-IN"/>
              </w:rPr>
              <w:t>Security deposit for meter equipment</w:t>
            </w:r>
          </w:p>
        </w:tc>
        <w:tc>
          <w:tcPr>
            <w:tcW w:w="1559"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7C627B">
            <w:pPr>
              <w:spacing w:after="0" w:line="360" w:lineRule="auto"/>
              <w:ind w:right="67"/>
              <w:jc w:val="center"/>
              <w:rPr>
                <w:rFonts w:ascii="Bookman Old Style" w:hAnsi="Bookman Old Style"/>
                <w:i/>
                <w:color w:val="000000" w:themeColor="text1"/>
                <w:sz w:val="18"/>
                <w:szCs w:val="18"/>
                <w:lang w:eastAsia="en-IN"/>
              </w:rPr>
            </w:pPr>
            <w:r w:rsidRPr="000C4C98">
              <w:rPr>
                <w:rFonts w:ascii="Bookman Old Style" w:hAnsi="Bookman Old Style"/>
                <w:i/>
                <w:color w:val="000000" w:themeColor="text1"/>
                <w:sz w:val="18"/>
                <w:szCs w:val="18"/>
                <w:lang w:eastAsia="en-IN"/>
              </w:rPr>
              <w:t>85.97</w:t>
            </w:r>
          </w:p>
        </w:tc>
      </w:tr>
      <w:tr w:rsidR="00381ACE" w:rsidRPr="000C4C98" w:rsidTr="00793F14">
        <w:trPr>
          <w:trHeight w:val="730"/>
          <w:jc w:val="center"/>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381ACE" w:rsidRPr="000C4C98" w:rsidRDefault="00381ACE" w:rsidP="007C627B">
            <w:pPr>
              <w:spacing w:after="0" w:line="360" w:lineRule="auto"/>
              <w:ind w:right="67"/>
              <w:jc w:val="center"/>
              <w:rPr>
                <w:rFonts w:ascii="Bookman Old Style" w:hAnsi="Bookman Old Style"/>
                <w:i/>
                <w:color w:val="000000" w:themeColor="text1"/>
                <w:sz w:val="18"/>
                <w:szCs w:val="18"/>
                <w:lang w:eastAsia="en-IN"/>
              </w:rPr>
            </w:pPr>
            <w:r w:rsidRPr="000C4C98">
              <w:rPr>
                <w:rFonts w:ascii="Bookman Old Style" w:hAnsi="Bookman Old Style"/>
                <w:i/>
                <w:color w:val="000000" w:themeColor="text1"/>
                <w:sz w:val="18"/>
                <w:szCs w:val="18"/>
                <w:lang w:eastAsia="en-IN"/>
              </w:rPr>
              <w:t>2</w:t>
            </w:r>
          </w:p>
        </w:tc>
        <w:tc>
          <w:tcPr>
            <w:tcW w:w="4434"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7C627B">
            <w:pPr>
              <w:spacing w:after="0" w:line="360" w:lineRule="auto"/>
              <w:ind w:right="67"/>
              <w:jc w:val="both"/>
              <w:rPr>
                <w:rFonts w:ascii="Bookman Old Style" w:hAnsi="Bookman Old Style"/>
                <w:i/>
                <w:color w:val="000000" w:themeColor="text1"/>
                <w:sz w:val="18"/>
                <w:szCs w:val="18"/>
                <w:lang w:eastAsia="en-IN"/>
              </w:rPr>
            </w:pPr>
            <w:r w:rsidRPr="000C4C98">
              <w:rPr>
                <w:rFonts w:ascii="Bookman Old Style" w:hAnsi="Bookman Old Style"/>
                <w:i/>
                <w:color w:val="000000" w:themeColor="text1"/>
                <w:sz w:val="18"/>
                <w:szCs w:val="18"/>
                <w:lang w:eastAsia="en-IN"/>
              </w:rPr>
              <w:t>Less: Amount considered as other income for the year from 2011-12,</w:t>
            </w:r>
            <w:r w:rsidR="00793F14">
              <w:rPr>
                <w:rFonts w:ascii="Bookman Old Style" w:hAnsi="Bookman Old Style"/>
                <w:i/>
                <w:color w:val="000000" w:themeColor="text1"/>
                <w:sz w:val="18"/>
                <w:szCs w:val="18"/>
                <w:lang w:eastAsia="en-IN"/>
              </w:rPr>
              <w:t xml:space="preserve"> </w:t>
            </w:r>
            <w:r w:rsidRPr="000C4C98">
              <w:rPr>
                <w:rFonts w:ascii="Bookman Old Style" w:hAnsi="Bookman Old Style"/>
                <w:i/>
                <w:color w:val="000000" w:themeColor="text1"/>
                <w:sz w:val="18"/>
                <w:szCs w:val="18"/>
                <w:lang w:eastAsia="en-IN"/>
              </w:rPr>
              <w:t>2012-13 and 2013-14</w:t>
            </w:r>
          </w:p>
        </w:tc>
        <w:tc>
          <w:tcPr>
            <w:tcW w:w="1559"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7C627B">
            <w:pPr>
              <w:spacing w:after="0" w:line="360" w:lineRule="auto"/>
              <w:ind w:right="67"/>
              <w:jc w:val="center"/>
              <w:rPr>
                <w:rFonts w:ascii="Bookman Old Style" w:hAnsi="Bookman Old Style"/>
                <w:i/>
                <w:color w:val="000000" w:themeColor="text1"/>
                <w:sz w:val="18"/>
                <w:szCs w:val="18"/>
                <w:lang w:eastAsia="en-IN"/>
              </w:rPr>
            </w:pPr>
            <w:r w:rsidRPr="000C4C98">
              <w:rPr>
                <w:rFonts w:ascii="Bookman Old Style" w:hAnsi="Bookman Old Style"/>
                <w:i/>
                <w:color w:val="000000" w:themeColor="text1"/>
                <w:sz w:val="18"/>
                <w:szCs w:val="18"/>
                <w:lang w:eastAsia="en-IN"/>
              </w:rPr>
              <w:t>31.16</w:t>
            </w:r>
          </w:p>
        </w:tc>
      </w:tr>
      <w:tr w:rsidR="00381ACE" w:rsidRPr="000C4C98" w:rsidTr="00793F14">
        <w:trPr>
          <w:trHeight w:val="457"/>
          <w:jc w:val="center"/>
        </w:trPr>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ACE" w:rsidRPr="000C4C98" w:rsidRDefault="00381ACE" w:rsidP="007C627B">
            <w:pPr>
              <w:spacing w:after="0" w:line="360" w:lineRule="auto"/>
              <w:ind w:right="67"/>
              <w:jc w:val="both"/>
              <w:rPr>
                <w:rFonts w:ascii="Bookman Old Style" w:hAnsi="Bookman Old Style"/>
                <w:b/>
                <w:bCs/>
                <w:i/>
                <w:color w:val="000000" w:themeColor="text1"/>
                <w:sz w:val="18"/>
                <w:szCs w:val="18"/>
                <w:lang w:eastAsia="en-IN"/>
              </w:rPr>
            </w:pPr>
            <w:r w:rsidRPr="000C4C98">
              <w:rPr>
                <w:rFonts w:ascii="Bookman Old Style" w:hAnsi="Bookman Old Style"/>
                <w:b/>
                <w:bCs/>
                <w:i/>
                <w:color w:val="000000" w:themeColor="text1"/>
                <w:sz w:val="18"/>
                <w:szCs w:val="18"/>
                <w:lang w:eastAsia="en-IN"/>
              </w:rPr>
              <w:t> Amount to be considered for reduction in equity consequent to capitalization of consumer meter security deposit</w:t>
            </w:r>
          </w:p>
        </w:tc>
        <w:tc>
          <w:tcPr>
            <w:tcW w:w="1559" w:type="dxa"/>
            <w:tcBorders>
              <w:top w:val="nil"/>
              <w:left w:val="nil"/>
              <w:bottom w:val="single" w:sz="4" w:space="0" w:color="auto"/>
              <w:right w:val="single" w:sz="4" w:space="0" w:color="auto"/>
            </w:tcBorders>
            <w:shd w:val="clear" w:color="auto" w:fill="auto"/>
            <w:vAlign w:val="center"/>
            <w:hideMark/>
          </w:tcPr>
          <w:p w:rsidR="00381ACE" w:rsidRPr="000C4C98" w:rsidRDefault="00381ACE" w:rsidP="007C627B">
            <w:pPr>
              <w:spacing w:after="0" w:line="360" w:lineRule="auto"/>
              <w:ind w:right="67"/>
              <w:jc w:val="center"/>
              <w:rPr>
                <w:rFonts w:ascii="Bookman Old Style" w:hAnsi="Bookman Old Style"/>
                <w:b/>
                <w:bCs/>
                <w:i/>
                <w:color w:val="000000" w:themeColor="text1"/>
                <w:sz w:val="18"/>
                <w:szCs w:val="18"/>
                <w:lang w:eastAsia="en-IN"/>
              </w:rPr>
            </w:pPr>
            <w:r w:rsidRPr="000C4C98">
              <w:rPr>
                <w:rFonts w:ascii="Bookman Old Style" w:hAnsi="Bookman Old Style"/>
                <w:b/>
                <w:bCs/>
                <w:i/>
                <w:color w:val="000000" w:themeColor="text1"/>
                <w:sz w:val="18"/>
                <w:szCs w:val="18"/>
                <w:lang w:eastAsia="en-IN"/>
              </w:rPr>
              <w:t>54.81</w:t>
            </w:r>
          </w:p>
        </w:tc>
      </w:tr>
    </w:tbl>
    <w:p w:rsidR="00381ACE" w:rsidRPr="003863B7" w:rsidRDefault="00381ACE" w:rsidP="00717D3E">
      <w:pPr>
        <w:pStyle w:val="BodyText"/>
        <w:ind w:right="67"/>
        <w:rPr>
          <w:rFonts w:ascii="Bookman Old Style" w:hAnsi="Bookman Old Style"/>
          <w:iCs/>
          <w:color w:val="F2F2F2" w:themeColor="background1" w:themeShade="F2"/>
        </w:rPr>
      </w:pPr>
    </w:p>
    <w:p w:rsidR="00381ACE" w:rsidRPr="00793F14" w:rsidRDefault="00381ACE" w:rsidP="00793F14">
      <w:pPr>
        <w:spacing w:line="360" w:lineRule="auto"/>
        <w:ind w:right="67"/>
        <w:jc w:val="both"/>
        <w:rPr>
          <w:rFonts w:ascii="Bookman Old Style" w:eastAsia="Century Gothic" w:hAnsi="Bookman Old Style" w:cs="Century Gothic"/>
          <w:color w:val="000000" w:themeColor="text1"/>
        </w:rPr>
      </w:pPr>
      <w:r w:rsidRPr="00793F14">
        <w:rPr>
          <w:rFonts w:ascii="Bookman Old Style" w:eastAsia="Century Gothic" w:hAnsi="Bookman Old Style" w:cs="Century Gothic"/>
          <w:color w:val="000000" w:themeColor="text1"/>
        </w:rPr>
        <w:t>Government of Karnataka induced the equity for FY-</w:t>
      </w:r>
      <w:r w:rsidR="00B30FEA" w:rsidRPr="00793F14">
        <w:rPr>
          <w:rFonts w:ascii="Bookman Old Style" w:eastAsia="Century Gothic" w:hAnsi="Bookman Old Style" w:cs="Century Gothic"/>
          <w:color w:val="000000" w:themeColor="text1"/>
        </w:rPr>
        <w:t>20.</w:t>
      </w:r>
      <w:r w:rsidRPr="00793F14">
        <w:rPr>
          <w:rFonts w:ascii="Bookman Old Style" w:eastAsia="Century Gothic" w:hAnsi="Bookman Old Style" w:cs="Century Gothic"/>
          <w:color w:val="000000" w:themeColor="text1"/>
        </w:rPr>
        <w:t xml:space="preserve"> The details are as follows:</w:t>
      </w:r>
    </w:p>
    <w:p w:rsidR="004D2832" w:rsidRPr="009B0360" w:rsidRDefault="004D2832" w:rsidP="004D2832">
      <w:pPr>
        <w:pStyle w:val="ListParagraph"/>
        <w:widowControl w:val="0"/>
        <w:numPr>
          <w:ilvl w:val="0"/>
          <w:numId w:val="12"/>
        </w:numPr>
        <w:spacing w:line="360" w:lineRule="auto"/>
        <w:ind w:right="67"/>
        <w:jc w:val="center"/>
        <w:rPr>
          <w:rFonts w:ascii="Bookman Old Style" w:hAnsi="Bookman Old Style"/>
          <w:color w:val="F2F2F2" w:themeColor="background1" w:themeShade="F2"/>
          <w:sz w:val="22"/>
        </w:rPr>
      </w:pPr>
      <w:r w:rsidRPr="009B0360">
        <w:rPr>
          <w:rFonts w:ascii="Bookman Old Style" w:hAnsi="Bookman Old Style" w:cs="Calibri"/>
          <w:b/>
          <w:bCs/>
          <w:sz w:val="18"/>
          <w:lang w:eastAsia="en-IN"/>
        </w:rPr>
        <w:t>Table 3.</w:t>
      </w:r>
      <w:r w:rsidR="009B0360" w:rsidRPr="009B0360">
        <w:rPr>
          <w:rFonts w:ascii="Bookman Old Style" w:hAnsi="Bookman Old Style" w:cs="Calibri"/>
          <w:b/>
          <w:bCs/>
          <w:sz w:val="18"/>
          <w:szCs w:val="20"/>
          <w:lang w:eastAsia="en-IN"/>
        </w:rPr>
        <w:t>4</w:t>
      </w:r>
      <w:r w:rsidR="001F0DC3">
        <w:rPr>
          <w:rFonts w:ascii="Bookman Old Style" w:hAnsi="Bookman Old Style" w:cs="Calibri"/>
          <w:b/>
          <w:bCs/>
          <w:sz w:val="18"/>
          <w:szCs w:val="20"/>
          <w:lang w:eastAsia="en-IN"/>
        </w:rPr>
        <w:t>5</w:t>
      </w:r>
    </w:p>
    <w:tbl>
      <w:tblPr>
        <w:tblW w:w="8688" w:type="dxa"/>
        <w:jc w:val="center"/>
        <w:tblLook w:val="04A0" w:firstRow="1" w:lastRow="0" w:firstColumn="1" w:lastColumn="0" w:noHBand="0" w:noVBand="1"/>
      </w:tblPr>
      <w:tblGrid>
        <w:gridCol w:w="2856"/>
        <w:gridCol w:w="979"/>
        <w:gridCol w:w="1673"/>
        <w:gridCol w:w="1714"/>
        <w:gridCol w:w="1466"/>
      </w:tblGrid>
      <w:tr w:rsidR="007C627B" w:rsidRPr="00F469A5" w:rsidTr="0033491E">
        <w:trPr>
          <w:trHeight w:val="604"/>
          <w:jc w:val="center"/>
        </w:trPr>
        <w:tc>
          <w:tcPr>
            <w:tcW w:w="2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jc w:val="center"/>
              <w:rPr>
                <w:rFonts w:ascii="Bookman Old Style" w:eastAsia="Times New Roman" w:hAnsi="Bookman Old Style" w:cs="Calibri"/>
                <w:b/>
                <w:bCs/>
                <w:color w:val="000000"/>
                <w:sz w:val="20"/>
                <w:szCs w:val="20"/>
                <w:lang w:eastAsia="en-IN"/>
              </w:rPr>
            </w:pPr>
            <w:r w:rsidRPr="00F469A5">
              <w:rPr>
                <w:rFonts w:ascii="Bookman Old Style" w:eastAsia="Times New Roman" w:hAnsi="Bookman Old Style" w:cs="Calibri"/>
                <w:b/>
                <w:bCs/>
                <w:color w:val="000000"/>
                <w:sz w:val="20"/>
                <w:szCs w:val="20"/>
                <w:lang w:eastAsia="en-IN"/>
              </w:rPr>
              <w:t>Additional Equity received during FY-20</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b/>
                <w:bCs/>
                <w:color w:val="000000"/>
                <w:sz w:val="20"/>
                <w:szCs w:val="20"/>
                <w:lang w:eastAsia="en-IN"/>
              </w:rPr>
            </w:pPr>
            <w:r w:rsidRPr="00F469A5">
              <w:rPr>
                <w:rFonts w:ascii="Bookman Old Style" w:eastAsia="Times New Roman" w:hAnsi="Bookman Old Style" w:cs="Calibri"/>
                <w:b/>
                <w:bCs/>
                <w:color w:val="000000"/>
                <w:sz w:val="20"/>
                <w:szCs w:val="20"/>
                <w:lang w:eastAsia="en-IN"/>
              </w:rPr>
              <w:t>Crores</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jc w:val="center"/>
              <w:rPr>
                <w:rFonts w:ascii="Bookman Old Style" w:eastAsia="Times New Roman" w:hAnsi="Bookman Old Style" w:cs="Calibri"/>
                <w:b/>
                <w:bCs/>
                <w:color w:val="000000"/>
                <w:sz w:val="20"/>
                <w:szCs w:val="20"/>
                <w:lang w:eastAsia="en-IN"/>
              </w:rPr>
            </w:pPr>
            <w:r w:rsidRPr="00F469A5">
              <w:rPr>
                <w:rFonts w:ascii="Bookman Old Style" w:eastAsia="Times New Roman" w:hAnsi="Bookman Old Style" w:cs="Calibri"/>
                <w:b/>
                <w:bCs/>
                <w:color w:val="000000"/>
                <w:sz w:val="20"/>
                <w:szCs w:val="20"/>
                <w:lang w:eastAsia="en-IN"/>
              </w:rPr>
              <w:t xml:space="preserve">Received on </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jc w:val="center"/>
              <w:rPr>
                <w:rFonts w:ascii="Bookman Old Style" w:eastAsia="Times New Roman" w:hAnsi="Bookman Old Style" w:cs="Calibri"/>
                <w:b/>
                <w:bCs/>
                <w:color w:val="000000"/>
                <w:sz w:val="20"/>
                <w:szCs w:val="20"/>
                <w:lang w:eastAsia="en-IN"/>
              </w:rPr>
            </w:pPr>
            <w:r w:rsidRPr="00F469A5">
              <w:rPr>
                <w:rFonts w:ascii="Bookman Old Style" w:eastAsia="Times New Roman" w:hAnsi="Bookman Old Style" w:cs="Calibri"/>
                <w:b/>
                <w:bCs/>
                <w:color w:val="000000"/>
                <w:sz w:val="20"/>
                <w:szCs w:val="20"/>
                <w:lang w:eastAsia="en-IN"/>
              </w:rPr>
              <w:t>No of months</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jc w:val="center"/>
              <w:rPr>
                <w:rFonts w:ascii="Bookman Old Style" w:eastAsia="Times New Roman" w:hAnsi="Bookman Old Style" w:cs="Calibri"/>
                <w:b/>
                <w:bCs/>
                <w:color w:val="000000"/>
                <w:sz w:val="20"/>
                <w:szCs w:val="20"/>
                <w:lang w:eastAsia="en-IN"/>
              </w:rPr>
            </w:pPr>
            <w:r w:rsidRPr="00F469A5">
              <w:rPr>
                <w:rFonts w:ascii="Bookman Old Style" w:eastAsia="Times New Roman" w:hAnsi="Bookman Old Style" w:cs="Calibri"/>
                <w:b/>
                <w:bCs/>
                <w:color w:val="000000"/>
                <w:sz w:val="20"/>
                <w:szCs w:val="20"/>
                <w:lang w:eastAsia="en-IN"/>
              </w:rPr>
              <w:t>RoE allowed Rs. Crs.</w:t>
            </w:r>
          </w:p>
        </w:tc>
      </w:tr>
      <w:tr w:rsidR="007C627B" w:rsidRPr="00F469A5" w:rsidTr="0033491E">
        <w:trPr>
          <w:trHeight w:val="238"/>
          <w:jc w:val="center"/>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EN 84 PSR 2019  dtd:14.06.2019</w:t>
            </w:r>
          </w:p>
        </w:tc>
        <w:tc>
          <w:tcPr>
            <w:tcW w:w="979"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1.99</w:t>
            </w:r>
          </w:p>
        </w:tc>
        <w:tc>
          <w:tcPr>
            <w:tcW w:w="1673"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27.06.2019</w:t>
            </w:r>
          </w:p>
        </w:tc>
        <w:tc>
          <w:tcPr>
            <w:tcW w:w="1714"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9</w:t>
            </w:r>
          </w:p>
        </w:tc>
        <w:tc>
          <w:tcPr>
            <w:tcW w:w="1466"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0.23</w:t>
            </w:r>
          </w:p>
        </w:tc>
      </w:tr>
      <w:tr w:rsidR="007C627B" w:rsidRPr="00F469A5" w:rsidTr="0033491E">
        <w:trPr>
          <w:trHeight w:val="238"/>
          <w:jc w:val="center"/>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EN 86 PSR 2019  dtd:13.06.2019</w:t>
            </w:r>
          </w:p>
        </w:tc>
        <w:tc>
          <w:tcPr>
            <w:tcW w:w="979"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11.37</w:t>
            </w:r>
          </w:p>
        </w:tc>
        <w:tc>
          <w:tcPr>
            <w:tcW w:w="1673"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28.06.2019</w:t>
            </w:r>
          </w:p>
        </w:tc>
        <w:tc>
          <w:tcPr>
            <w:tcW w:w="1714"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9</w:t>
            </w:r>
          </w:p>
        </w:tc>
        <w:tc>
          <w:tcPr>
            <w:tcW w:w="1466"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1.32</w:t>
            </w:r>
          </w:p>
        </w:tc>
      </w:tr>
      <w:tr w:rsidR="007C627B" w:rsidRPr="00F469A5" w:rsidTr="0033491E">
        <w:trPr>
          <w:trHeight w:val="238"/>
          <w:jc w:val="center"/>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EN 82 PSR 2019 dtd:13.06.2019</w:t>
            </w:r>
          </w:p>
        </w:tc>
        <w:tc>
          <w:tcPr>
            <w:tcW w:w="979"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55</w:t>
            </w:r>
          </w:p>
        </w:tc>
        <w:tc>
          <w:tcPr>
            <w:tcW w:w="1673"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01.07.2019</w:t>
            </w:r>
          </w:p>
        </w:tc>
        <w:tc>
          <w:tcPr>
            <w:tcW w:w="1714"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9</w:t>
            </w:r>
          </w:p>
        </w:tc>
        <w:tc>
          <w:tcPr>
            <w:tcW w:w="1466"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6.39</w:t>
            </w:r>
          </w:p>
        </w:tc>
      </w:tr>
      <w:tr w:rsidR="007C627B" w:rsidRPr="00F469A5" w:rsidTr="0033491E">
        <w:trPr>
          <w:trHeight w:val="438"/>
          <w:jc w:val="center"/>
        </w:trPr>
        <w:tc>
          <w:tcPr>
            <w:tcW w:w="2856" w:type="dxa"/>
            <w:vMerge w:val="restart"/>
            <w:tcBorders>
              <w:top w:val="nil"/>
              <w:left w:val="single" w:sz="4" w:space="0" w:color="auto"/>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EN 84 PSR 2019 dtd:19.09.2019</w:t>
            </w:r>
          </w:p>
        </w:tc>
        <w:tc>
          <w:tcPr>
            <w:tcW w:w="979"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0.38</w:t>
            </w:r>
          </w:p>
        </w:tc>
        <w:tc>
          <w:tcPr>
            <w:tcW w:w="1673"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25.09.2019</w:t>
            </w:r>
          </w:p>
        </w:tc>
        <w:tc>
          <w:tcPr>
            <w:tcW w:w="1714"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6</w:t>
            </w:r>
          </w:p>
        </w:tc>
        <w:tc>
          <w:tcPr>
            <w:tcW w:w="1466"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0.03</w:t>
            </w:r>
          </w:p>
        </w:tc>
      </w:tr>
      <w:tr w:rsidR="007C627B" w:rsidRPr="00F469A5" w:rsidTr="0033491E">
        <w:trPr>
          <w:trHeight w:val="431"/>
          <w:jc w:val="center"/>
        </w:trPr>
        <w:tc>
          <w:tcPr>
            <w:tcW w:w="2856" w:type="dxa"/>
            <w:vMerge/>
            <w:tcBorders>
              <w:top w:val="nil"/>
              <w:left w:val="single" w:sz="4" w:space="0" w:color="auto"/>
              <w:bottom w:val="single" w:sz="4" w:space="0" w:color="auto"/>
              <w:right w:val="single" w:sz="4" w:space="0" w:color="auto"/>
            </w:tcBorders>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p>
        </w:tc>
        <w:tc>
          <w:tcPr>
            <w:tcW w:w="979"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1.61</w:t>
            </w:r>
          </w:p>
        </w:tc>
        <w:tc>
          <w:tcPr>
            <w:tcW w:w="1673"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26.09.2019</w:t>
            </w:r>
          </w:p>
        </w:tc>
        <w:tc>
          <w:tcPr>
            <w:tcW w:w="1714"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6</w:t>
            </w:r>
          </w:p>
        </w:tc>
        <w:tc>
          <w:tcPr>
            <w:tcW w:w="1466"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0.12</w:t>
            </w:r>
          </w:p>
        </w:tc>
      </w:tr>
      <w:tr w:rsidR="007C627B" w:rsidRPr="00F469A5" w:rsidTr="0033491E">
        <w:trPr>
          <w:trHeight w:val="238"/>
          <w:jc w:val="center"/>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EN 82 PSR 2019 dtd:23.09.2019</w:t>
            </w:r>
          </w:p>
        </w:tc>
        <w:tc>
          <w:tcPr>
            <w:tcW w:w="979"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55</w:t>
            </w:r>
          </w:p>
        </w:tc>
        <w:tc>
          <w:tcPr>
            <w:tcW w:w="1673"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10.10.2019</w:t>
            </w:r>
          </w:p>
        </w:tc>
        <w:tc>
          <w:tcPr>
            <w:tcW w:w="1714"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5</w:t>
            </w:r>
          </w:p>
        </w:tc>
        <w:tc>
          <w:tcPr>
            <w:tcW w:w="1466"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3.55</w:t>
            </w:r>
          </w:p>
        </w:tc>
      </w:tr>
      <w:tr w:rsidR="007C627B" w:rsidRPr="00F469A5" w:rsidTr="0033491E">
        <w:trPr>
          <w:trHeight w:val="238"/>
          <w:jc w:val="center"/>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EN 86 PSR 2019  dtd:19.09.2019</w:t>
            </w:r>
          </w:p>
        </w:tc>
        <w:tc>
          <w:tcPr>
            <w:tcW w:w="979"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11.37</w:t>
            </w:r>
          </w:p>
        </w:tc>
        <w:tc>
          <w:tcPr>
            <w:tcW w:w="1673"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17.10.2019</w:t>
            </w:r>
          </w:p>
        </w:tc>
        <w:tc>
          <w:tcPr>
            <w:tcW w:w="1714"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5</w:t>
            </w:r>
          </w:p>
        </w:tc>
        <w:tc>
          <w:tcPr>
            <w:tcW w:w="1466"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0.73</w:t>
            </w:r>
          </w:p>
        </w:tc>
      </w:tr>
      <w:tr w:rsidR="007C627B" w:rsidRPr="00F469A5" w:rsidTr="0033491E">
        <w:trPr>
          <w:trHeight w:val="238"/>
          <w:jc w:val="center"/>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EN 86 PSR 2019 dtd:21.12.2019</w:t>
            </w:r>
          </w:p>
        </w:tc>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67.98</w:t>
            </w:r>
          </w:p>
        </w:tc>
        <w:tc>
          <w:tcPr>
            <w:tcW w:w="16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03.01.2020</w:t>
            </w:r>
          </w:p>
        </w:tc>
        <w:tc>
          <w:tcPr>
            <w:tcW w:w="1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3</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2.63</w:t>
            </w:r>
          </w:p>
        </w:tc>
      </w:tr>
      <w:tr w:rsidR="007C627B" w:rsidRPr="00F469A5" w:rsidTr="0033491E">
        <w:trPr>
          <w:trHeight w:val="238"/>
          <w:jc w:val="center"/>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EN 53 PSR 2019 dtd:21.12.2019</w:t>
            </w:r>
          </w:p>
        </w:tc>
        <w:tc>
          <w:tcPr>
            <w:tcW w:w="979" w:type="dxa"/>
            <w:vMerge/>
            <w:tcBorders>
              <w:top w:val="nil"/>
              <w:left w:val="single" w:sz="4" w:space="0" w:color="auto"/>
              <w:bottom w:val="single" w:sz="4" w:space="0" w:color="auto"/>
              <w:right w:val="single" w:sz="4" w:space="0" w:color="auto"/>
            </w:tcBorders>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p>
        </w:tc>
        <w:tc>
          <w:tcPr>
            <w:tcW w:w="1673" w:type="dxa"/>
            <w:vMerge/>
            <w:tcBorders>
              <w:top w:val="nil"/>
              <w:left w:val="single" w:sz="4" w:space="0" w:color="auto"/>
              <w:bottom w:val="single" w:sz="4" w:space="0" w:color="auto"/>
              <w:right w:val="single" w:sz="4" w:space="0" w:color="auto"/>
            </w:tcBorders>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p>
        </w:tc>
        <w:tc>
          <w:tcPr>
            <w:tcW w:w="1714" w:type="dxa"/>
            <w:vMerge/>
            <w:tcBorders>
              <w:top w:val="nil"/>
              <w:left w:val="single" w:sz="4" w:space="0" w:color="auto"/>
              <w:bottom w:val="single" w:sz="4" w:space="0" w:color="auto"/>
              <w:right w:val="single" w:sz="4" w:space="0" w:color="auto"/>
            </w:tcBorders>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p>
        </w:tc>
        <w:tc>
          <w:tcPr>
            <w:tcW w:w="1466" w:type="dxa"/>
            <w:vMerge/>
            <w:tcBorders>
              <w:top w:val="nil"/>
              <w:left w:val="single" w:sz="4" w:space="0" w:color="auto"/>
              <w:bottom w:val="single" w:sz="4" w:space="0" w:color="auto"/>
              <w:right w:val="single" w:sz="4" w:space="0" w:color="auto"/>
            </w:tcBorders>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p>
        </w:tc>
      </w:tr>
      <w:tr w:rsidR="007C627B" w:rsidRPr="00F469A5" w:rsidTr="0033491E">
        <w:trPr>
          <w:trHeight w:val="238"/>
          <w:jc w:val="center"/>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EN 84 PSR 2019 dtd:21.12.2019</w:t>
            </w:r>
          </w:p>
        </w:tc>
        <w:tc>
          <w:tcPr>
            <w:tcW w:w="979" w:type="dxa"/>
            <w:vMerge/>
            <w:tcBorders>
              <w:top w:val="nil"/>
              <w:left w:val="single" w:sz="4" w:space="0" w:color="auto"/>
              <w:bottom w:val="single" w:sz="4" w:space="0" w:color="auto"/>
              <w:right w:val="single" w:sz="4" w:space="0" w:color="auto"/>
            </w:tcBorders>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p>
        </w:tc>
        <w:tc>
          <w:tcPr>
            <w:tcW w:w="1673" w:type="dxa"/>
            <w:vMerge/>
            <w:tcBorders>
              <w:top w:val="nil"/>
              <w:left w:val="single" w:sz="4" w:space="0" w:color="auto"/>
              <w:bottom w:val="single" w:sz="4" w:space="0" w:color="auto"/>
              <w:right w:val="single" w:sz="4" w:space="0" w:color="auto"/>
            </w:tcBorders>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p>
        </w:tc>
        <w:tc>
          <w:tcPr>
            <w:tcW w:w="1714" w:type="dxa"/>
            <w:vMerge/>
            <w:tcBorders>
              <w:top w:val="nil"/>
              <w:left w:val="single" w:sz="4" w:space="0" w:color="auto"/>
              <w:bottom w:val="single" w:sz="4" w:space="0" w:color="auto"/>
              <w:right w:val="single" w:sz="4" w:space="0" w:color="auto"/>
            </w:tcBorders>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p>
        </w:tc>
        <w:tc>
          <w:tcPr>
            <w:tcW w:w="1466" w:type="dxa"/>
            <w:vMerge/>
            <w:tcBorders>
              <w:top w:val="nil"/>
              <w:left w:val="single" w:sz="4" w:space="0" w:color="auto"/>
              <w:bottom w:val="single" w:sz="4" w:space="0" w:color="auto"/>
              <w:right w:val="single" w:sz="4" w:space="0" w:color="auto"/>
            </w:tcBorders>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p>
        </w:tc>
      </w:tr>
      <w:tr w:rsidR="007C627B" w:rsidRPr="00F469A5" w:rsidTr="0033491E">
        <w:trPr>
          <w:trHeight w:val="238"/>
          <w:jc w:val="center"/>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EN 84 PSR 2019 dtd:19.09.2019</w:t>
            </w:r>
          </w:p>
        </w:tc>
        <w:tc>
          <w:tcPr>
            <w:tcW w:w="979"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0.38</w:t>
            </w:r>
          </w:p>
        </w:tc>
        <w:tc>
          <w:tcPr>
            <w:tcW w:w="1673"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04.01.2020</w:t>
            </w:r>
          </w:p>
        </w:tc>
        <w:tc>
          <w:tcPr>
            <w:tcW w:w="1714"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3</w:t>
            </w:r>
          </w:p>
        </w:tc>
        <w:tc>
          <w:tcPr>
            <w:tcW w:w="1466"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0.01</w:t>
            </w:r>
          </w:p>
        </w:tc>
      </w:tr>
      <w:tr w:rsidR="007C627B" w:rsidRPr="00F469A5" w:rsidTr="0033491E">
        <w:trPr>
          <w:trHeight w:val="238"/>
          <w:jc w:val="center"/>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EN 84 PSR 2019 dtd:21.12.2019</w:t>
            </w:r>
          </w:p>
        </w:tc>
        <w:tc>
          <w:tcPr>
            <w:tcW w:w="979"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0.38</w:t>
            </w:r>
          </w:p>
        </w:tc>
        <w:tc>
          <w:tcPr>
            <w:tcW w:w="1673"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05.03.2020</w:t>
            </w:r>
          </w:p>
        </w:tc>
        <w:tc>
          <w:tcPr>
            <w:tcW w:w="1714"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1</w:t>
            </w:r>
          </w:p>
        </w:tc>
        <w:tc>
          <w:tcPr>
            <w:tcW w:w="1466"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w:t>
            </w:r>
          </w:p>
        </w:tc>
      </w:tr>
      <w:tr w:rsidR="007C627B" w:rsidRPr="00F469A5" w:rsidTr="0033491E">
        <w:trPr>
          <w:trHeight w:val="238"/>
          <w:jc w:val="center"/>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EN 84 PSR 2019 dtd:25.02.2020</w:t>
            </w:r>
          </w:p>
        </w:tc>
        <w:tc>
          <w:tcPr>
            <w:tcW w:w="979"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1.61</w:t>
            </w:r>
          </w:p>
        </w:tc>
        <w:tc>
          <w:tcPr>
            <w:tcW w:w="1673"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05.03.2020</w:t>
            </w:r>
          </w:p>
        </w:tc>
        <w:tc>
          <w:tcPr>
            <w:tcW w:w="1714"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1</w:t>
            </w:r>
          </w:p>
        </w:tc>
        <w:tc>
          <w:tcPr>
            <w:tcW w:w="1466"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0.02</w:t>
            </w:r>
          </w:p>
        </w:tc>
      </w:tr>
      <w:tr w:rsidR="007C627B" w:rsidRPr="00F469A5" w:rsidTr="0033491E">
        <w:trPr>
          <w:trHeight w:val="238"/>
          <w:jc w:val="center"/>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7C627B" w:rsidRPr="00F469A5" w:rsidRDefault="007C627B" w:rsidP="00F469A5">
            <w:pPr>
              <w:spacing w:after="0" w:line="240" w:lineRule="auto"/>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EN 53 PSR 2019 dtd:20.02.2020</w:t>
            </w:r>
          </w:p>
        </w:tc>
        <w:tc>
          <w:tcPr>
            <w:tcW w:w="979"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55</w:t>
            </w:r>
          </w:p>
        </w:tc>
        <w:tc>
          <w:tcPr>
            <w:tcW w:w="1673"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06.03.2020</w:t>
            </w:r>
          </w:p>
        </w:tc>
        <w:tc>
          <w:tcPr>
            <w:tcW w:w="1714"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F469A5">
            <w:pPr>
              <w:spacing w:after="0" w:line="240"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1</w:t>
            </w:r>
          </w:p>
        </w:tc>
        <w:tc>
          <w:tcPr>
            <w:tcW w:w="1466"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33491E">
            <w:pPr>
              <w:spacing w:after="0" w:line="240"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0.71</w:t>
            </w:r>
          </w:p>
        </w:tc>
      </w:tr>
      <w:tr w:rsidR="007C627B" w:rsidRPr="00F469A5" w:rsidTr="0033491E">
        <w:trPr>
          <w:trHeight w:val="238"/>
          <w:jc w:val="center"/>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7C627B" w:rsidRPr="00F469A5" w:rsidRDefault="007C627B" w:rsidP="008B0A50">
            <w:pPr>
              <w:spacing w:after="0" w:line="276" w:lineRule="auto"/>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EN 86 PSR 2019 dtd:28.02.2020</w:t>
            </w:r>
          </w:p>
        </w:tc>
        <w:tc>
          <w:tcPr>
            <w:tcW w:w="979"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8B0A50">
            <w:pPr>
              <w:spacing w:after="0" w:line="276"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11.37</w:t>
            </w:r>
          </w:p>
        </w:tc>
        <w:tc>
          <w:tcPr>
            <w:tcW w:w="1673"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8B0A50">
            <w:pPr>
              <w:spacing w:after="0" w:line="276"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10.03.2020</w:t>
            </w:r>
          </w:p>
        </w:tc>
        <w:tc>
          <w:tcPr>
            <w:tcW w:w="1714"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8B0A50">
            <w:pPr>
              <w:spacing w:after="0" w:line="276" w:lineRule="auto"/>
              <w:jc w:val="center"/>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1</w:t>
            </w:r>
          </w:p>
        </w:tc>
        <w:tc>
          <w:tcPr>
            <w:tcW w:w="1466"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8B0A50">
            <w:pPr>
              <w:spacing w:after="0" w:line="276" w:lineRule="auto"/>
              <w:jc w:val="right"/>
              <w:rPr>
                <w:rFonts w:ascii="Bookman Old Style" w:eastAsia="Times New Roman" w:hAnsi="Bookman Old Style" w:cs="Calibri"/>
                <w:color w:val="000000"/>
                <w:sz w:val="20"/>
                <w:szCs w:val="20"/>
                <w:lang w:eastAsia="en-IN"/>
              </w:rPr>
            </w:pPr>
            <w:r w:rsidRPr="00F469A5">
              <w:rPr>
                <w:rFonts w:ascii="Bookman Old Style" w:eastAsia="Times New Roman" w:hAnsi="Bookman Old Style" w:cs="Calibri"/>
                <w:color w:val="000000"/>
                <w:sz w:val="20"/>
                <w:szCs w:val="20"/>
                <w:lang w:eastAsia="en-IN"/>
              </w:rPr>
              <w:t>0.15</w:t>
            </w:r>
          </w:p>
        </w:tc>
      </w:tr>
      <w:tr w:rsidR="007C627B" w:rsidRPr="00F469A5" w:rsidTr="0033491E">
        <w:trPr>
          <w:trHeight w:val="119"/>
          <w:jc w:val="center"/>
        </w:trPr>
        <w:tc>
          <w:tcPr>
            <w:tcW w:w="2856" w:type="dxa"/>
            <w:tcBorders>
              <w:top w:val="nil"/>
              <w:left w:val="single" w:sz="4" w:space="0" w:color="auto"/>
              <w:bottom w:val="single" w:sz="4" w:space="0" w:color="auto"/>
              <w:right w:val="single" w:sz="4" w:space="0" w:color="auto"/>
            </w:tcBorders>
            <w:shd w:val="clear" w:color="auto" w:fill="auto"/>
            <w:noWrap/>
            <w:vAlign w:val="center"/>
            <w:hideMark/>
          </w:tcPr>
          <w:p w:rsidR="007C627B" w:rsidRPr="00F469A5" w:rsidRDefault="007C627B" w:rsidP="008B0A50">
            <w:pPr>
              <w:spacing w:after="0" w:line="276" w:lineRule="auto"/>
              <w:jc w:val="right"/>
              <w:rPr>
                <w:rFonts w:ascii="Bookman Old Style" w:eastAsia="Times New Roman" w:hAnsi="Bookman Old Style" w:cs="Calibri"/>
                <w:b/>
                <w:bCs/>
                <w:color w:val="000000"/>
                <w:sz w:val="20"/>
                <w:szCs w:val="20"/>
                <w:lang w:eastAsia="en-IN"/>
              </w:rPr>
            </w:pPr>
            <w:r w:rsidRPr="00F469A5">
              <w:rPr>
                <w:rFonts w:ascii="Bookman Old Style" w:eastAsia="Times New Roman" w:hAnsi="Bookman Old Style" w:cs="Calibri"/>
                <w:b/>
                <w:bCs/>
                <w:color w:val="000000"/>
                <w:sz w:val="20"/>
                <w:szCs w:val="20"/>
                <w:lang w:eastAsia="en-IN"/>
              </w:rPr>
              <w:t>Total</w:t>
            </w:r>
          </w:p>
        </w:tc>
        <w:tc>
          <w:tcPr>
            <w:tcW w:w="979"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8B0A50">
            <w:pPr>
              <w:spacing w:after="0" w:line="276" w:lineRule="auto"/>
              <w:jc w:val="center"/>
              <w:rPr>
                <w:rFonts w:ascii="Bookman Old Style" w:eastAsia="Times New Roman" w:hAnsi="Bookman Old Style" w:cs="Calibri"/>
                <w:b/>
                <w:bCs/>
                <w:color w:val="000000"/>
                <w:sz w:val="20"/>
                <w:szCs w:val="20"/>
                <w:lang w:eastAsia="en-IN"/>
              </w:rPr>
            </w:pPr>
            <w:r w:rsidRPr="00F469A5">
              <w:rPr>
                <w:rFonts w:ascii="Bookman Old Style" w:eastAsia="Times New Roman" w:hAnsi="Bookman Old Style" w:cs="Calibri"/>
                <w:b/>
                <w:bCs/>
                <w:color w:val="000000"/>
                <w:sz w:val="20"/>
                <w:szCs w:val="20"/>
                <w:lang w:eastAsia="en-IN"/>
              </w:rPr>
              <w:t>273.4</w:t>
            </w:r>
          </w:p>
        </w:tc>
        <w:tc>
          <w:tcPr>
            <w:tcW w:w="1673"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8B0A50">
            <w:pPr>
              <w:spacing w:after="0" w:line="276" w:lineRule="auto"/>
              <w:rPr>
                <w:rFonts w:ascii="Bookman Old Style" w:eastAsia="Times New Roman" w:hAnsi="Bookman Old Style" w:cs="Calibri"/>
                <w:b/>
                <w:bCs/>
                <w:color w:val="000000"/>
                <w:sz w:val="20"/>
                <w:szCs w:val="20"/>
                <w:lang w:eastAsia="en-IN"/>
              </w:rPr>
            </w:pPr>
            <w:r w:rsidRPr="00F469A5">
              <w:rPr>
                <w:rFonts w:ascii="Bookman Old Style" w:eastAsia="Times New Roman" w:hAnsi="Bookman Old Style" w:cs="Calibri"/>
                <w:b/>
                <w:bCs/>
                <w:color w:val="000000"/>
                <w:sz w:val="20"/>
                <w:szCs w:val="20"/>
                <w:lang w:eastAsia="en-IN"/>
              </w:rPr>
              <w:t> </w:t>
            </w:r>
          </w:p>
        </w:tc>
        <w:tc>
          <w:tcPr>
            <w:tcW w:w="1714"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8B0A50">
            <w:pPr>
              <w:spacing w:after="0" w:line="276" w:lineRule="auto"/>
              <w:jc w:val="center"/>
              <w:rPr>
                <w:rFonts w:ascii="Bookman Old Style" w:eastAsia="Times New Roman" w:hAnsi="Bookman Old Style" w:cs="Calibri"/>
                <w:b/>
                <w:bCs/>
                <w:color w:val="000000"/>
                <w:sz w:val="20"/>
                <w:szCs w:val="20"/>
                <w:lang w:eastAsia="en-IN"/>
              </w:rPr>
            </w:pPr>
            <w:r w:rsidRPr="00F469A5">
              <w:rPr>
                <w:rFonts w:ascii="Bookman Old Style" w:eastAsia="Times New Roman" w:hAnsi="Bookman Old Style" w:cs="Calibri"/>
                <w:b/>
                <w:bCs/>
                <w:color w:val="000000"/>
                <w:sz w:val="20"/>
                <w:szCs w:val="20"/>
                <w:lang w:eastAsia="en-IN"/>
              </w:rPr>
              <w:t> </w:t>
            </w:r>
          </w:p>
        </w:tc>
        <w:tc>
          <w:tcPr>
            <w:tcW w:w="1466" w:type="dxa"/>
            <w:tcBorders>
              <w:top w:val="nil"/>
              <w:left w:val="nil"/>
              <w:bottom w:val="single" w:sz="4" w:space="0" w:color="auto"/>
              <w:right w:val="single" w:sz="4" w:space="0" w:color="auto"/>
            </w:tcBorders>
            <w:shd w:val="clear" w:color="auto" w:fill="auto"/>
            <w:noWrap/>
            <w:vAlign w:val="center"/>
            <w:hideMark/>
          </w:tcPr>
          <w:p w:rsidR="007C627B" w:rsidRPr="00F469A5" w:rsidRDefault="007C627B" w:rsidP="008B0A50">
            <w:pPr>
              <w:spacing w:after="0" w:line="276" w:lineRule="auto"/>
              <w:jc w:val="right"/>
              <w:rPr>
                <w:rFonts w:ascii="Bookman Old Style" w:eastAsia="Times New Roman" w:hAnsi="Bookman Old Style" w:cs="Calibri"/>
                <w:b/>
                <w:bCs/>
                <w:color w:val="000000"/>
                <w:sz w:val="20"/>
                <w:szCs w:val="20"/>
                <w:lang w:eastAsia="en-IN"/>
              </w:rPr>
            </w:pPr>
            <w:r w:rsidRPr="00F469A5">
              <w:rPr>
                <w:rFonts w:ascii="Bookman Old Style" w:eastAsia="Times New Roman" w:hAnsi="Bookman Old Style" w:cs="Calibri"/>
                <w:b/>
                <w:bCs/>
                <w:color w:val="000000"/>
                <w:sz w:val="20"/>
                <w:szCs w:val="20"/>
                <w:lang w:eastAsia="en-IN"/>
              </w:rPr>
              <w:t>15.92</w:t>
            </w:r>
          </w:p>
        </w:tc>
      </w:tr>
    </w:tbl>
    <w:p w:rsidR="00381ACE" w:rsidRPr="006347A6" w:rsidRDefault="00381ACE" w:rsidP="008B0A50">
      <w:pPr>
        <w:spacing w:line="276" w:lineRule="auto"/>
        <w:ind w:right="67"/>
        <w:jc w:val="both"/>
        <w:rPr>
          <w:rFonts w:ascii="Bookman Old Style" w:eastAsia="Century Gothic" w:hAnsi="Bookman Old Style" w:cs="Century Gothic"/>
        </w:rPr>
      </w:pPr>
      <w:r>
        <w:rPr>
          <w:rFonts w:ascii="Bookman Old Style" w:eastAsia="Century Gothic" w:hAnsi="Bookman Old Style" w:cs="Century Gothic"/>
        </w:rPr>
        <w:t>F</w:t>
      </w:r>
      <w:r w:rsidRPr="006347A6">
        <w:rPr>
          <w:rFonts w:ascii="Bookman Old Style" w:eastAsia="Century Gothic" w:hAnsi="Bookman Old Style" w:cs="Century Gothic"/>
        </w:rPr>
        <w:t>or FY-</w:t>
      </w:r>
      <w:r>
        <w:rPr>
          <w:rFonts w:ascii="Bookman Old Style" w:eastAsia="Century Gothic" w:hAnsi="Bookman Old Style" w:cs="Century Gothic"/>
        </w:rPr>
        <w:t>20</w:t>
      </w:r>
      <w:r w:rsidRPr="006347A6">
        <w:rPr>
          <w:rFonts w:ascii="Bookman Old Style" w:eastAsia="Century Gothic" w:hAnsi="Bookman Old Style" w:cs="Century Gothic"/>
        </w:rPr>
        <w:t>, Gove</w:t>
      </w:r>
      <w:r>
        <w:rPr>
          <w:rFonts w:ascii="Bookman Old Style" w:eastAsia="Century Gothic" w:hAnsi="Bookman Old Style" w:cs="Century Gothic"/>
        </w:rPr>
        <w:t>rnment of Karnataka induced Rs.</w:t>
      </w:r>
      <w:r w:rsidR="00B30FEA">
        <w:rPr>
          <w:rFonts w:ascii="Bookman Old Style" w:eastAsia="Century Gothic" w:hAnsi="Bookman Old Style" w:cs="Century Gothic"/>
        </w:rPr>
        <w:t>273.44</w:t>
      </w:r>
      <w:r w:rsidRPr="006347A6">
        <w:rPr>
          <w:rFonts w:ascii="Bookman Old Style" w:eastAsia="Century Gothic" w:hAnsi="Bookman Old Style" w:cs="Century Gothic"/>
        </w:rPr>
        <w:t xml:space="preserve"> Crs. towards equity under different occasions as tabulated above. The Commission is requested to consider the same for computation of return on equity.</w:t>
      </w:r>
    </w:p>
    <w:p w:rsidR="00381ACE" w:rsidRDefault="00381ACE" w:rsidP="00717D3E">
      <w:pPr>
        <w:spacing w:line="360" w:lineRule="auto"/>
        <w:ind w:right="67"/>
        <w:jc w:val="both"/>
        <w:rPr>
          <w:rFonts w:ascii="Bookman Old Style" w:eastAsia="Century Gothic" w:hAnsi="Bookman Old Style" w:cs="Century Gothic"/>
          <w:color w:val="000000" w:themeColor="text1"/>
        </w:rPr>
      </w:pPr>
      <w:r w:rsidRPr="000C4C98">
        <w:rPr>
          <w:rFonts w:ascii="Bookman Old Style" w:eastAsia="Century Gothic" w:hAnsi="Bookman Old Style" w:cs="Century Gothic"/>
          <w:color w:val="000000" w:themeColor="text1"/>
        </w:rPr>
        <w:lastRenderedPageBreak/>
        <w:t>With the above back ground BESCOMs calculated eligible ret</w:t>
      </w:r>
      <w:r>
        <w:rPr>
          <w:rFonts w:ascii="Bookman Old Style" w:eastAsia="Century Gothic" w:hAnsi="Bookman Old Style" w:cs="Century Gothic"/>
          <w:color w:val="000000" w:themeColor="text1"/>
        </w:rPr>
        <w:t>urn on equity as under for FY-20</w:t>
      </w:r>
      <w:r w:rsidRPr="000C4C98">
        <w:rPr>
          <w:rFonts w:ascii="Bookman Old Style" w:eastAsia="Century Gothic" w:hAnsi="Bookman Old Style" w:cs="Century Gothic"/>
          <w:color w:val="000000" w:themeColor="text1"/>
        </w:rPr>
        <w:t>.</w:t>
      </w:r>
    </w:p>
    <w:p w:rsidR="004D2832" w:rsidRPr="009B0360" w:rsidRDefault="004D2832" w:rsidP="004D2832">
      <w:pPr>
        <w:spacing w:line="360" w:lineRule="auto"/>
        <w:ind w:right="67"/>
        <w:jc w:val="center"/>
        <w:rPr>
          <w:rFonts w:ascii="Bookman Old Style" w:eastAsia="Century Gothic" w:hAnsi="Bookman Old Style" w:cs="Century Gothic"/>
          <w:color w:val="000000" w:themeColor="text1"/>
          <w:sz w:val="20"/>
        </w:rPr>
      </w:pPr>
      <w:r w:rsidRPr="009B0360">
        <w:rPr>
          <w:rFonts w:ascii="Bookman Old Style" w:hAnsi="Bookman Old Style" w:cs="Calibri"/>
          <w:b/>
          <w:bCs/>
          <w:sz w:val="18"/>
          <w:lang w:eastAsia="en-IN"/>
        </w:rPr>
        <w:t>Table 3.</w:t>
      </w:r>
      <w:r w:rsidRPr="009B0360">
        <w:rPr>
          <w:rFonts w:ascii="Bookman Old Style" w:hAnsi="Bookman Old Style" w:cs="Calibri"/>
          <w:b/>
          <w:bCs/>
          <w:sz w:val="18"/>
          <w:szCs w:val="20"/>
          <w:lang w:eastAsia="en-IN"/>
        </w:rPr>
        <w:t>4</w:t>
      </w:r>
      <w:r w:rsidR="001F0DC3">
        <w:rPr>
          <w:rFonts w:ascii="Bookman Old Style" w:hAnsi="Bookman Old Style" w:cs="Calibri"/>
          <w:b/>
          <w:bCs/>
          <w:sz w:val="18"/>
          <w:szCs w:val="20"/>
          <w:lang w:eastAsia="en-IN"/>
        </w:rPr>
        <w:t>6</w:t>
      </w:r>
    </w:p>
    <w:tbl>
      <w:tblPr>
        <w:tblW w:w="6847" w:type="dxa"/>
        <w:jc w:val="center"/>
        <w:tblLook w:val="04A0" w:firstRow="1" w:lastRow="0" w:firstColumn="1" w:lastColumn="0" w:noHBand="0" w:noVBand="1"/>
      </w:tblPr>
      <w:tblGrid>
        <w:gridCol w:w="5336"/>
        <w:gridCol w:w="1511"/>
      </w:tblGrid>
      <w:tr w:rsidR="00381ACE" w:rsidRPr="007D6E76" w:rsidTr="007C627B">
        <w:trPr>
          <w:trHeight w:val="157"/>
          <w:jc w:val="center"/>
        </w:trPr>
        <w:tc>
          <w:tcPr>
            <w:tcW w:w="5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7D6E76" w:rsidRDefault="00381ACE" w:rsidP="00D1177B">
            <w:pPr>
              <w:spacing w:after="0" w:line="240" w:lineRule="auto"/>
              <w:ind w:right="67"/>
              <w:rPr>
                <w:rFonts w:ascii="Bookman Old Style" w:hAnsi="Bookman Old Style" w:cs="Calibri"/>
                <w:b/>
                <w:bCs/>
                <w:color w:val="000000"/>
                <w:lang w:eastAsia="en-IN"/>
              </w:rPr>
            </w:pPr>
            <w:r w:rsidRPr="007D6E76">
              <w:rPr>
                <w:rFonts w:ascii="Bookman Old Style" w:hAnsi="Bookman Old Style" w:cs="Calibri"/>
                <w:b/>
                <w:bCs/>
                <w:color w:val="000000"/>
                <w:lang w:eastAsia="en-IN"/>
              </w:rPr>
              <w:t>Particulars</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381ACE" w:rsidRPr="007D6E76" w:rsidRDefault="00381ACE" w:rsidP="00D1177B">
            <w:pPr>
              <w:spacing w:after="0" w:line="240" w:lineRule="auto"/>
              <w:ind w:right="67"/>
              <w:jc w:val="right"/>
              <w:rPr>
                <w:rFonts w:ascii="Bookman Old Style" w:hAnsi="Bookman Old Style"/>
                <w:b/>
                <w:bCs/>
                <w:lang w:eastAsia="en-IN"/>
              </w:rPr>
            </w:pPr>
            <w:r w:rsidRPr="007D6E76">
              <w:rPr>
                <w:rFonts w:ascii="Bookman Old Style" w:hAnsi="Bookman Old Style"/>
                <w:b/>
                <w:bCs/>
                <w:lang w:eastAsia="en-IN"/>
              </w:rPr>
              <w:t xml:space="preserve"> FY-20</w:t>
            </w:r>
          </w:p>
        </w:tc>
      </w:tr>
      <w:tr w:rsidR="00381ACE" w:rsidRPr="007D6E76" w:rsidTr="009B0360">
        <w:trPr>
          <w:trHeight w:val="358"/>
          <w:jc w:val="center"/>
        </w:trPr>
        <w:tc>
          <w:tcPr>
            <w:tcW w:w="5336" w:type="dxa"/>
            <w:tcBorders>
              <w:top w:val="nil"/>
              <w:left w:val="single" w:sz="4" w:space="0" w:color="auto"/>
              <w:bottom w:val="single" w:sz="4" w:space="0" w:color="auto"/>
              <w:right w:val="single" w:sz="4" w:space="0" w:color="auto"/>
            </w:tcBorders>
            <w:shd w:val="clear" w:color="auto" w:fill="auto"/>
            <w:vAlign w:val="center"/>
            <w:hideMark/>
          </w:tcPr>
          <w:p w:rsidR="00381ACE" w:rsidRPr="007D6E76" w:rsidRDefault="00381ACE" w:rsidP="00D1177B">
            <w:pPr>
              <w:spacing w:after="0" w:line="240" w:lineRule="auto"/>
              <w:ind w:right="67"/>
              <w:rPr>
                <w:rFonts w:ascii="Bookman Old Style" w:hAnsi="Bookman Old Style" w:cs="Calibri"/>
                <w:color w:val="000000"/>
                <w:lang w:eastAsia="en-IN"/>
              </w:rPr>
            </w:pPr>
            <w:r w:rsidRPr="007D6E76">
              <w:rPr>
                <w:rFonts w:ascii="Bookman Old Style" w:hAnsi="Bookman Old Style" w:cs="Calibri"/>
                <w:color w:val="000000"/>
                <w:lang w:eastAsia="en-IN"/>
              </w:rPr>
              <w:t xml:space="preserve">Opening balance of paid up share capital </w:t>
            </w:r>
          </w:p>
        </w:tc>
        <w:tc>
          <w:tcPr>
            <w:tcW w:w="1511" w:type="dxa"/>
            <w:tcBorders>
              <w:top w:val="nil"/>
              <w:left w:val="nil"/>
              <w:bottom w:val="single" w:sz="4" w:space="0" w:color="auto"/>
              <w:right w:val="single" w:sz="4" w:space="0" w:color="auto"/>
            </w:tcBorders>
            <w:shd w:val="clear" w:color="auto" w:fill="auto"/>
            <w:noWrap/>
            <w:vAlign w:val="center"/>
            <w:hideMark/>
          </w:tcPr>
          <w:p w:rsidR="00381ACE" w:rsidRPr="007D6E76" w:rsidRDefault="00381ACE" w:rsidP="00D1177B">
            <w:pPr>
              <w:spacing w:after="0" w:line="240" w:lineRule="auto"/>
              <w:ind w:right="67"/>
              <w:jc w:val="right"/>
              <w:rPr>
                <w:rFonts w:ascii="Bookman Old Style" w:hAnsi="Bookman Old Style"/>
                <w:lang w:eastAsia="en-IN"/>
              </w:rPr>
            </w:pPr>
            <w:r w:rsidRPr="007D6E76">
              <w:rPr>
                <w:rFonts w:ascii="Bookman Old Style" w:hAnsi="Bookman Old Style"/>
                <w:lang w:eastAsia="en-IN"/>
              </w:rPr>
              <w:t>546.92</w:t>
            </w:r>
          </w:p>
        </w:tc>
      </w:tr>
      <w:tr w:rsidR="00381ACE" w:rsidRPr="007D6E76" w:rsidTr="007C627B">
        <w:trPr>
          <w:trHeight w:val="157"/>
          <w:jc w:val="center"/>
        </w:trPr>
        <w:tc>
          <w:tcPr>
            <w:tcW w:w="5336" w:type="dxa"/>
            <w:tcBorders>
              <w:top w:val="nil"/>
              <w:left w:val="single" w:sz="4" w:space="0" w:color="auto"/>
              <w:bottom w:val="single" w:sz="4" w:space="0" w:color="auto"/>
              <w:right w:val="single" w:sz="4" w:space="0" w:color="auto"/>
            </w:tcBorders>
            <w:shd w:val="clear" w:color="auto" w:fill="auto"/>
            <w:vAlign w:val="center"/>
            <w:hideMark/>
          </w:tcPr>
          <w:p w:rsidR="00381ACE" w:rsidRPr="007D6E76" w:rsidRDefault="00381ACE" w:rsidP="00D1177B">
            <w:pPr>
              <w:spacing w:after="0" w:line="240" w:lineRule="auto"/>
              <w:ind w:right="67"/>
              <w:rPr>
                <w:rFonts w:ascii="Bookman Old Style" w:hAnsi="Bookman Old Style" w:cs="Calibri"/>
                <w:color w:val="000000"/>
                <w:lang w:eastAsia="en-IN"/>
              </w:rPr>
            </w:pPr>
            <w:r w:rsidRPr="007D6E76">
              <w:rPr>
                <w:rFonts w:ascii="Bookman Old Style" w:hAnsi="Bookman Old Style" w:cs="Calibri"/>
                <w:color w:val="000000"/>
                <w:lang w:eastAsia="en-IN"/>
              </w:rPr>
              <w:t>Share deposit</w:t>
            </w:r>
          </w:p>
        </w:tc>
        <w:tc>
          <w:tcPr>
            <w:tcW w:w="1511" w:type="dxa"/>
            <w:tcBorders>
              <w:top w:val="nil"/>
              <w:left w:val="nil"/>
              <w:bottom w:val="single" w:sz="4" w:space="0" w:color="auto"/>
              <w:right w:val="single" w:sz="4" w:space="0" w:color="auto"/>
            </w:tcBorders>
            <w:shd w:val="clear" w:color="auto" w:fill="auto"/>
            <w:noWrap/>
            <w:vAlign w:val="center"/>
            <w:hideMark/>
          </w:tcPr>
          <w:p w:rsidR="00381ACE" w:rsidRPr="007D6E76" w:rsidRDefault="00381ACE" w:rsidP="00D1177B">
            <w:pPr>
              <w:spacing w:after="0" w:line="240" w:lineRule="auto"/>
              <w:ind w:right="67"/>
              <w:jc w:val="right"/>
              <w:rPr>
                <w:rFonts w:ascii="Bookman Old Style" w:hAnsi="Bookman Old Style"/>
                <w:lang w:eastAsia="en-IN"/>
              </w:rPr>
            </w:pPr>
            <w:r w:rsidRPr="007D6E76">
              <w:rPr>
                <w:rFonts w:ascii="Bookman Old Style" w:hAnsi="Bookman Old Style"/>
                <w:lang w:eastAsia="en-IN"/>
              </w:rPr>
              <w:t>796.62</w:t>
            </w:r>
          </w:p>
        </w:tc>
      </w:tr>
      <w:tr w:rsidR="00381ACE" w:rsidRPr="007D6E76" w:rsidTr="007C627B">
        <w:trPr>
          <w:trHeight w:val="157"/>
          <w:jc w:val="center"/>
        </w:trPr>
        <w:tc>
          <w:tcPr>
            <w:tcW w:w="5336" w:type="dxa"/>
            <w:tcBorders>
              <w:top w:val="nil"/>
              <w:left w:val="single" w:sz="4" w:space="0" w:color="auto"/>
              <w:bottom w:val="single" w:sz="4" w:space="0" w:color="auto"/>
              <w:right w:val="single" w:sz="4" w:space="0" w:color="auto"/>
            </w:tcBorders>
            <w:shd w:val="clear" w:color="auto" w:fill="auto"/>
            <w:noWrap/>
            <w:vAlign w:val="center"/>
            <w:hideMark/>
          </w:tcPr>
          <w:p w:rsidR="00381ACE" w:rsidRPr="007D6E76" w:rsidRDefault="00381ACE" w:rsidP="00D1177B">
            <w:pPr>
              <w:spacing w:after="0" w:line="240" w:lineRule="auto"/>
              <w:ind w:right="67"/>
              <w:rPr>
                <w:rFonts w:ascii="Bookman Old Style" w:hAnsi="Bookman Old Style"/>
                <w:lang w:eastAsia="en-IN"/>
              </w:rPr>
            </w:pPr>
            <w:r w:rsidRPr="007D6E76">
              <w:rPr>
                <w:rFonts w:ascii="Bookman Old Style" w:hAnsi="Bookman Old Style"/>
                <w:lang w:eastAsia="en-IN"/>
              </w:rPr>
              <w:t>Equity addition during the year</w:t>
            </w:r>
          </w:p>
        </w:tc>
        <w:tc>
          <w:tcPr>
            <w:tcW w:w="1511" w:type="dxa"/>
            <w:tcBorders>
              <w:top w:val="nil"/>
              <w:left w:val="nil"/>
              <w:bottom w:val="single" w:sz="4" w:space="0" w:color="auto"/>
              <w:right w:val="single" w:sz="4" w:space="0" w:color="auto"/>
            </w:tcBorders>
            <w:shd w:val="clear" w:color="auto" w:fill="auto"/>
            <w:noWrap/>
            <w:vAlign w:val="center"/>
            <w:hideMark/>
          </w:tcPr>
          <w:p w:rsidR="00381ACE" w:rsidRPr="007D6E76" w:rsidRDefault="00381ACE" w:rsidP="00D1177B">
            <w:pPr>
              <w:spacing w:after="0" w:line="240" w:lineRule="auto"/>
              <w:ind w:right="67"/>
              <w:jc w:val="right"/>
              <w:rPr>
                <w:rFonts w:ascii="Bookman Old Style" w:hAnsi="Bookman Old Style"/>
                <w:lang w:eastAsia="en-IN"/>
              </w:rPr>
            </w:pPr>
            <w:r w:rsidRPr="007D6E76">
              <w:rPr>
                <w:rFonts w:ascii="Bookman Old Style" w:hAnsi="Bookman Old Style"/>
                <w:lang w:eastAsia="en-IN"/>
              </w:rPr>
              <w:t>15.92</w:t>
            </w:r>
          </w:p>
        </w:tc>
      </w:tr>
      <w:tr w:rsidR="00381ACE" w:rsidRPr="007D6E76" w:rsidTr="009B0360">
        <w:trPr>
          <w:trHeight w:val="305"/>
          <w:jc w:val="center"/>
        </w:trPr>
        <w:tc>
          <w:tcPr>
            <w:tcW w:w="5336" w:type="dxa"/>
            <w:tcBorders>
              <w:top w:val="nil"/>
              <w:left w:val="single" w:sz="4" w:space="0" w:color="auto"/>
              <w:bottom w:val="single" w:sz="4" w:space="0" w:color="auto"/>
              <w:right w:val="single" w:sz="4" w:space="0" w:color="auto"/>
            </w:tcBorders>
            <w:shd w:val="clear" w:color="auto" w:fill="auto"/>
            <w:noWrap/>
            <w:vAlign w:val="center"/>
            <w:hideMark/>
          </w:tcPr>
          <w:p w:rsidR="00381ACE" w:rsidRPr="007D6E76" w:rsidRDefault="00381ACE" w:rsidP="00D1177B">
            <w:pPr>
              <w:spacing w:after="0" w:line="240" w:lineRule="auto"/>
              <w:ind w:right="67"/>
              <w:rPr>
                <w:rFonts w:ascii="Bookman Old Style" w:hAnsi="Bookman Old Style" w:cs="Calibri"/>
                <w:color w:val="000000"/>
                <w:lang w:eastAsia="en-IN"/>
              </w:rPr>
            </w:pPr>
            <w:r w:rsidRPr="007D6E76">
              <w:rPr>
                <w:rFonts w:ascii="Bookman Old Style" w:hAnsi="Bookman Old Style" w:cs="Calibri"/>
                <w:color w:val="000000"/>
                <w:lang w:eastAsia="en-IN"/>
              </w:rPr>
              <w:t>Reserve and Surplus</w:t>
            </w:r>
          </w:p>
        </w:tc>
        <w:tc>
          <w:tcPr>
            <w:tcW w:w="1511" w:type="dxa"/>
            <w:tcBorders>
              <w:top w:val="nil"/>
              <w:left w:val="nil"/>
              <w:bottom w:val="single" w:sz="4" w:space="0" w:color="auto"/>
              <w:right w:val="single" w:sz="4" w:space="0" w:color="auto"/>
            </w:tcBorders>
            <w:shd w:val="clear" w:color="auto" w:fill="auto"/>
            <w:noWrap/>
            <w:vAlign w:val="center"/>
            <w:hideMark/>
          </w:tcPr>
          <w:p w:rsidR="00381ACE" w:rsidRPr="007D6E76" w:rsidRDefault="00381ACE" w:rsidP="00D1177B">
            <w:pPr>
              <w:spacing w:after="0" w:line="240" w:lineRule="auto"/>
              <w:ind w:right="67"/>
              <w:jc w:val="right"/>
              <w:rPr>
                <w:rFonts w:ascii="Bookman Old Style" w:hAnsi="Bookman Old Style"/>
                <w:lang w:eastAsia="en-IN"/>
              </w:rPr>
            </w:pPr>
            <w:r w:rsidRPr="007D6E76">
              <w:rPr>
                <w:rFonts w:ascii="Bookman Old Style" w:hAnsi="Bookman Old Style"/>
                <w:lang w:eastAsia="en-IN"/>
              </w:rPr>
              <w:t>-147.67</w:t>
            </w:r>
          </w:p>
        </w:tc>
      </w:tr>
      <w:tr w:rsidR="00381ACE" w:rsidRPr="007D6E76" w:rsidTr="009B0360">
        <w:trPr>
          <w:trHeight w:val="183"/>
          <w:jc w:val="center"/>
        </w:trPr>
        <w:tc>
          <w:tcPr>
            <w:tcW w:w="5336" w:type="dxa"/>
            <w:tcBorders>
              <w:top w:val="nil"/>
              <w:left w:val="single" w:sz="4" w:space="0" w:color="auto"/>
              <w:bottom w:val="single" w:sz="4" w:space="0" w:color="auto"/>
              <w:right w:val="single" w:sz="4" w:space="0" w:color="auto"/>
            </w:tcBorders>
            <w:shd w:val="clear" w:color="auto" w:fill="auto"/>
            <w:vAlign w:val="center"/>
            <w:hideMark/>
          </w:tcPr>
          <w:p w:rsidR="00381ACE" w:rsidRPr="007D6E76" w:rsidRDefault="00381ACE" w:rsidP="00D1177B">
            <w:pPr>
              <w:spacing w:after="0" w:line="240" w:lineRule="auto"/>
              <w:ind w:right="67"/>
              <w:rPr>
                <w:rFonts w:ascii="Bookman Old Style" w:hAnsi="Bookman Old Style" w:cs="Calibri"/>
                <w:color w:val="000000"/>
                <w:lang w:eastAsia="en-IN"/>
              </w:rPr>
            </w:pPr>
            <w:r w:rsidRPr="007D6E76">
              <w:rPr>
                <w:rFonts w:ascii="Bookman Old Style" w:hAnsi="Bookman Old Style" w:cs="Calibri"/>
                <w:color w:val="000000"/>
                <w:lang w:eastAsia="en-IN"/>
              </w:rPr>
              <w:t xml:space="preserve">Less: Recapitalised Security Deposit </w:t>
            </w:r>
          </w:p>
        </w:tc>
        <w:tc>
          <w:tcPr>
            <w:tcW w:w="1511" w:type="dxa"/>
            <w:tcBorders>
              <w:top w:val="nil"/>
              <w:left w:val="nil"/>
              <w:bottom w:val="single" w:sz="4" w:space="0" w:color="auto"/>
              <w:right w:val="single" w:sz="4" w:space="0" w:color="auto"/>
            </w:tcBorders>
            <w:shd w:val="clear" w:color="auto" w:fill="auto"/>
            <w:noWrap/>
            <w:vAlign w:val="center"/>
            <w:hideMark/>
          </w:tcPr>
          <w:p w:rsidR="00381ACE" w:rsidRPr="007D6E76" w:rsidRDefault="00381ACE" w:rsidP="00D1177B">
            <w:pPr>
              <w:spacing w:after="0" w:line="240" w:lineRule="auto"/>
              <w:ind w:right="67"/>
              <w:jc w:val="right"/>
              <w:rPr>
                <w:rFonts w:ascii="Bookman Old Style" w:hAnsi="Bookman Old Style"/>
                <w:lang w:eastAsia="en-IN"/>
              </w:rPr>
            </w:pPr>
            <w:r w:rsidRPr="007D6E76">
              <w:rPr>
                <w:rFonts w:ascii="Bookman Old Style" w:hAnsi="Bookman Old Style"/>
                <w:lang w:eastAsia="en-IN"/>
              </w:rPr>
              <w:t>-54.81</w:t>
            </w:r>
          </w:p>
        </w:tc>
      </w:tr>
      <w:tr w:rsidR="00381ACE" w:rsidRPr="007D6E76" w:rsidTr="007C627B">
        <w:trPr>
          <w:trHeight w:val="157"/>
          <w:jc w:val="center"/>
        </w:trPr>
        <w:tc>
          <w:tcPr>
            <w:tcW w:w="5336" w:type="dxa"/>
            <w:tcBorders>
              <w:top w:val="nil"/>
              <w:left w:val="single" w:sz="4" w:space="0" w:color="auto"/>
              <w:bottom w:val="single" w:sz="4" w:space="0" w:color="auto"/>
              <w:right w:val="single" w:sz="4" w:space="0" w:color="auto"/>
            </w:tcBorders>
            <w:shd w:val="clear" w:color="auto" w:fill="auto"/>
            <w:noWrap/>
            <w:vAlign w:val="center"/>
            <w:hideMark/>
          </w:tcPr>
          <w:p w:rsidR="00381ACE" w:rsidRPr="007D6E76" w:rsidRDefault="00381ACE" w:rsidP="00D1177B">
            <w:pPr>
              <w:spacing w:after="0" w:line="240" w:lineRule="auto"/>
              <w:ind w:right="67"/>
              <w:rPr>
                <w:rFonts w:ascii="Bookman Old Style" w:hAnsi="Bookman Old Style" w:cs="Calibri"/>
                <w:b/>
                <w:bCs/>
                <w:color w:val="000000"/>
                <w:lang w:eastAsia="en-IN"/>
              </w:rPr>
            </w:pPr>
            <w:r w:rsidRPr="007D6E76">
              <w:rPr>
                <w:rFonts w:ascii="Bookman Old Style" w:hAnsi="Bookman Old Style" w:cs="Calibri"/>
                <w:b/>
                <w:bCs/>
                <w:color w:val="000000"/>
                <w:lang w:eastAsia="en-IN"/>
              </w:rPr>
              <w:t>Total Equity</w:t>
            </w:r>
          </w:p>
        </w:tc>
        <w:tc>
          <w:tcPr>
            <w:tcW w:w="1511" w:type="dxa"/>
            <w:tcBorders>
              <w:top w:val="nil"/>
              <w:left w:val="nil"/>
              <w:bottom w:val="single" w:sz="4" w:space="0" w:color="auto"/>
              <w:right w:val="single" w:sz="4" w:space="0" w:color="auto"/>
            </w:tcBorders>
            <w:shd w:val="clear" w:color="auto" w:fill="auto"/>
            <w:noWrap/>
            <w:vAlign w:val="center"/>
            <w:hideMark/>
          </w:tcPr>
          <w:p w:rsidR="00381ACE" w:rsidRPr="007D6E76" w:rsidRDefault="00381ACE" w:rsidP="00D1177B">
            <w:pPr>
              <w:spacing w:after="0" w:line="240" w:lineRule="auto"/>
              <w:ind w:right="67"/>
              <w:jc w:val="right"/>
              <w:rPr>
                <w:rFonts w:ascii="Bookman Old Style" w:hAnsi="Bookman Old Style"/>
                <w:b/>
                <w:bCs/>
                <w:lang w:eastAsia="en-IN"/>
              </w:rPr>
            </w:pPr>
            <w:r w:rsidRPr="007D6E76">
              <w:rPr>
                <w:rFonts w:ascii="Bookman Old Style" w:hAnsi="Bookman Old Style"/>
                <w:b/>
                <w:bCs/>
                <w:lang w:eastAsia="en-IN"/>
              </w:rPr>
              <w:t>1156.98</w:t>
            </w:r>
          </w:p>
        </w:tc>
      </w:tr>
      <w:tr w:rsidR="00381ACE" w:rsidRPr="007D6E76" w:rsidTr="009B0360">
        <w:trPr>
          <w:trHeight w:val="237"/>
          <w:jc w:val="center"/>
        </w:trPr>
        <w:tc>
          <w:tcPr>
            <w:tcW w:w="5336" w:type="dxa"/>
            <w:tcBorders>
              <w:top w:val="nil"/>
              <w:left w:val="single" w:sz="4" w:space="0" w:color="auto"/>
              <w:bottom w:val="single" w:sz="4" w:space="0" w:color="auto"/>
              <w:right w:val="single" w:sz="4" w:space="0" w:color="auto"/>
            </w:tcBorders>
            <w:shd w:val="clear" w:color="auto" w:fill="auto"/>
            <w:noWrap/>
            <w:vAlign w:val="center"/>
            <w:hideMark/>
          </w:tcPr>
          <w:p w:rsidR="00381ACE" w:rsidRPr="007D6E76" w:rsidRDefault="00381ACE" w:rsidP="00D1177B">
            <w:pPr>
              <w:spacing w:after="0" w:line="240" w:lineRule="auto"/>
              <w:ind w:right="67"/>
              <w:rPr>
                <w:rFonts w:ascii="Bookman Old Style" w:hAnsi="Bookman Old Style"/>
                <w:b/>
                <w:bCs/>
                <w:lang w:eastAsia="en-IN"/>
              </w:rPr>
            </w:pPr>
            <w:r w:rsidRPr="007D6E76">
              <w:rPr>
                <w:rFonts w:ascii="Bookman Old Style" w:hAnsi="Bookman Old Style"/>
                <w:b/>
                <w:bCs/>
                <w:lang w:eastAsia="en-IN"/>
              </w:rPr>
              <w:t>Return on Equity @15.5%</w:t>
            </w:r>
          </w:p>
        </w:tc>
        <w:tc>
          <w:tcPr>
            <w:tcW w:w="1511" w:type="dxa"/>
            <w:tcBorders>
              <w:top w:val="nil"/>
              <w:left w:val="nil"/>
              <w:bottom w:val="single" w:sz="4" w:space="0" w:color="auto"/>
              <w:right w:val="single" w:sz="4" w:space="0" w:color="auto"/>
            </w:tcBorders>
            <w:shd w:val="clear" w:color="auto" w:fill="auto"/>
            <w:noWrap/>
            <w:vAlign w:val="center"/>
            <w:hideMark/>
          </w:tcPr>
          <w:p w:rsidR="00381ACE" w:rsidRPr="007D6E76" w:rsidRDefault="00381ACE" w:rsidP="00D1177B">
            <w:pPr>
              <w:spacing w:after="0" w:line="240" w:lineRule="auto"/>
              <w:ind w:right="67"/>
              <w:jc w:val="right"/>
              <w:rPr>
                <w:rFonts w:ascii="Bookman Old Style" w:hAnsi="Bookman Old Style"/>
                <w:b/>
                <w:bCs/>
                <w:lang w:eastAsia="en-IN"/>
              </w:rPr>
            </w:pPr>
            <w:r w:rsidRPr="007D6E76">
              <w:rPr>
                <w:rFonts w:ascii="Bookman Old Style" w:hAnsi="Bookman Old Style"/>
                <w:b/>
                <w:bCs/>
                <w:lang w:eastAsia="en-IN"/>
              </w:rPr>
              <w:t>179.33</w:t>
            </w:r>
          </w:p>
        </w:tc>
      </w:tr>
    </w:tbl>
    <w:p w:rsidR="00D1177B" w:rsidRDefault="00D1177B" w:rsidP="00717D3E">
      <w:pPr>
        <w:spacing w:line="360" w:lineRule="auto"/>
        <w:ind w:right="67"/>
        <w:jc w:val="both"/>
        <w:rPr>
          <w:rFonts w:ascii="Bookman Old Style" w:eastAsiaTheme="minorEastAsia" w:hAnsi="Bookman Old Style" w:cs="Arial"/>
        </w:rPr>
      </w:pPr>
    </w:p>
    <w:p w:rsidR="00381ACE" w:rsidRDefault="00381ACE" w:rsidP="00717D3E">
      <w:pPr>
        <w:spacing w:line="360" w:lineRule="auto"/>
        <w:ind w:right="67"/>
        <w:jc w:val="both"/>
        <w:rPr>
          <w:rFonts w:ascii="Bookman Old Style" w:eastAsiaTheme="minorEastAsia" w:hAnsi="Bookman Old Style" w:cs="Arial"/>
          <w:b/>
          <w:color w:val="000000" w:themeColor="text1"/>
          <w:sz w:val="28"/>
          <w:szCs w:val="24"/>
        </w:rPr>
      </w:pPr>
      <w:r w:rsidRPr="00AB44CE">
        <w:rPr>
          <w:rFonts w:ascii="Bookman Old Style" w:eastAsiaTheme="minorEastAsia" w:hAnsi="Bookman Old Style" w:cs="Arial"/>
        </w:rPr>
        <w:t xml:space="preserve">Commission is requested to consider Rs. </w:t>
      </w:r>
      <w:r>
        <w:rPr>
          <w:rFonts w:ascii="Bookman Old Style" w:eastAsiaTheme="minorEastAsia" w:hAnsi="Bookman Old Style" w:cs="Arial"/>
        </w:rPr>
        <w:t>179.33</w:t>
      </w:r>
      <w:r w:rsidRPr="00AB44CE">
        <w:rPr>
          <w:rFonts w:ascii="Bookman Old Style" w:eastAsiaTheme="minorEastAsia" w:hAnsi="Bookman Old Style" w:cs="Arial"/>
        </w:rPr>
        <w:t xml:space="preserve"> Crs., as </w:t>
      </w:r>
      <w:r>
        <w:rPr>
          <w:rFonts w:ascii="Bookman Old Style" w:eastAsiaTheme="minorEastAsia" w:hAnsi="Bookman Old Style" w:cs="Arial"/>
        </w:rPr>
        <w:t>RoE for FY-20</w:t>
      </w:r>
      <w:r w:rsidR="004462A2">
        <w:rPr>
          <w:rFonts w:ascii="Bookman Old Style" w:eastAsiaTheme="minorEastAsia" w:hAnsi="Bookman Old Style" w:cs="Arial"/>
        </w:rPr>
        <w:t>.</w:t>
      </w:r>
    </w:p>
    <w:p w:rsidR="00381ACE" w:rsidRPr="00657A5A" w:rsidRDefault="00381ACE" w:rsidP="00717D3E">
      <w:pPr>
        <w:spacing w:line="360" w:lineRule="auto"/>
        <w:ind w:right="67"/>
        <w:jc w:val="both"/>
        <w:rPr>
          <w:rFonts w:ascii="Bookman Old Style" w:eastAsiaTheme="minorEastAsia" w:hAnsi="Bookman Old Style" w:cs="Arial"/>
          <w:b/>
          <w:color w:val="000000" w:themeColor="text1"/>
          <w:sz w:val="28"/>
          <w:szCs w:val="24"/>
        </w:rPr>
      </w:pPr>
      <w:r w:rsidRPr="00657A5A">
        <w:rPr>
          <w:rFonts w:ascii="Bookman Old Style" w:eastAsiaTheme="minorEastAsia" w:hAnsi="Bookman Old Style" w:cs="Arial"/>
          <w:b/>
          <w:color w:val="000000" w:themeColor="text1"/>
          <w:sz w:val="28"/>
          <w:szCs w:val="24"/>
        </w:rPr>
        <w:t>Income Tax</w:t>
      </w:r>
      <w:r w:rsidR="00D1177B">
        <w:rPr>
          <w:rFonts w:ascii="Bookman Old Style" w:eastAsiaTheme="minorEastAsia" w:hAnsi="Bookman Old Style" w:cs="Arial"/>
          <w:b/>
          <w:color w:val="000000" w:themeColor="text1"/>
          <w:sz w:val="28"/>
          <w:szCs w:val="24"/>
        </w:rPr>
        <w:t>:</w:t>
      </w:r>
    </w:p>
    <w:p w:rsidR="00381ACE" w:rsidRPr="009B36B4" w:rsidRDefault="00381ACE" w:rsidP="009B36B4">
      <w:pPr>
        <w:spacing w:line="360" w:lineRule="auto"/>
        <w:ind w:right="67"/>
        <w:jc w:val="both"/>
        <w:rPr>
          <w:rFonts w:ascii="Bookman Old Style" w:eastAsia="Century Gothic" w:hAnsi="Bookman Old Style" w:cs="Century Gothic"/>
        </w:rPr>
      </w:pPr>
      <w:r w:rsidRPr="009B36B4">
        <w:rPr>
          <w:rFonts w:ascii="Bookman Old Style" w:eastAsia="Century Gothic" w:hAnsi="Bookman Old Style" w:cs="Century Gothic"/>
        </w:rPr>
        <w:t>As per the Audited Annual Accounts for FY</w:t>
      </w:r>
      <w:r w:rsidR="00EB6E74">
        <w:rPr>
          <w:rFonts w:ascii="Bookman Old Style" w:eastAsia="Century Gothic" w:hAnsi="Bookman Old Style" w:cs="Century Gothic"/>
        </w:rPr>
        <w:t>-</w:t>
      </w:r>
      <w:r w:rsidRPr="009B36B4">
        <w:rPr>
          <w:rFonts w:ascii="Bookman Old Style" w:eastAsia="Century Gothic" w:hAnsi="Bookman Old Style" w:cs="Century Gothic"/>
        </w:rPr>
        <w:t>20</w:t>
      </w:r>
      <w:r w:rsidR="00D714A4">
        <w:rPr>
          <w:rFonts w:ascii="Bookman Old Style" w:eastAsiaTheme="minorEastAsia" w:hAnsi="Bookman Old Style" w:cs="Arial"/>
        </w:rPr>
        <w:t>(awaiting B</w:t>
      </w:r>
      <w:r w:rsidR="00522324">
        <w:rPr>
          <w:rFonts w:ascii="Bookman Old Style" w:eastAsiaTheme="minorEastAsia" w:hAnsi="Bookman Old Style" w:cs="Arial"/>
        </w:rPr>
        <w:t>oard approval)</w:t>
      </w:r>
      <w:r w:rsidRPr="009B36B4">
        <w:rPr>
          <w:rFonts w:ascii="Bookman Old Style" w:eastAsia="Century Gothic" w:hAnsi="Bookman Old Style" w:cs="Century Gothic"/>
        </w:rPr>
        <w:t>, an a</w:t>
      </w:r>
      <w:r w:rsidR="00EB6E74">
        <w:rPr>
          <w:rFonts w:ascii="Bookman Old Style" w:eastAsia="Century Gothic" w:hAnsi="Bookman Old Style" w:cs="Century Gothic"/>
        </w:rPr>
        <w:t>mount of Rs.25.6 Crores and Rs.</w:t>
      </w:r>
      <w:r w:rsidRPr="009B36B4">
        <w:rPr>
          <w:rFonts w:ascii="Bookman Old Style" w:eastAsia="Century Gothic" w:hAnsi="Bookman Old Style" w:cs="Century Gothic"/>
        </w:rPr>
        <w:t xml:space="preserve">19.77 Crores are paid towards Current tax and Deferred Tax Liability respectively. The Commission is allowing the actual tax paid by the Company. </w:t>
      </w:r>
      <w:r w:rsidR="00EB6E74">
        <w:rPr>
          <w:rFonts w:ascii="Bookman Old Style" w:eastAsia="Century Gothic" w:hAnsi="Bookman Old Style" w:cs="Century Gothic"/>
        </w:rPr>
        <w:t xml:space="preserve">Hence, </w:t>
      </w:r>
      <w:r w:rsidR="00A63230">
        <w:rPr>
          <w:rFonts w:ascii="Bookman Old Style" w:eastAsia="Century Gothic" w:hAnsi="Bookman Old Style" w:cs="Century Gothic"/>
        </w:rPr>
        <w:t xml:space="preserve">the </w:t>
      </w:r>
      <w:r w:rsidR="00EB6E74">
        <w:rPr>
          <w:rFonts w:ascii="Bookman Old Style" w:eastAsia="Century Gothic" w:hAnsi="Bookman Old Style" w:cs="Century Gothic"/>
        </w:rPr>
        <w:t>Commission is requested to allow Rs.5.83 Crs. for FY-20.</w:t>
      </w:r>
    </w:p>
    <w:p w:rsidR="00381ACE" w:rsidRPr="003863B7" w:rsidRDefault="00381ACE" w:rsidP="00717D3E">
      <w:pPr>
        <w:spacing w:line="360" w:lineRule="auto"/>
        <w:ind w:right="67"/>
        <w:jc w:val="both"/>
        <w:rPr>
          <w:rFonts w:ascii="Bookman Old Style" w:eastAsiaTheme="minorEastAsia" w:hAnsi="Bookman Old Style" w:cs="Arial"/>
          <w:b/>
          <w:color w:val="F2F2F2" w:themeColor="background1" w:themeShade="F2"/>
          <w:sz w:val="28"/>
          <w:szCs w:val="24"/>
        </w:rPr>
      </w:pPr>
      <w:r w:rsidRPr="00657A5A">
        <w:rPr>
          <w:rFonts w:ascii="Bookman Old Style" w:eastAsiaTheme="minorEastAsia" w:hAnsi="Bookman Old Style" w:cs="Arial"/>
          <w:b/>
          <w:color w:val="000000" w:themeColor="text1"/>
          <w:sz w:val="28"/>
          <w:szCs w:val="24"/>
        </w:rPr>
        <w:t>Other income:</w:t>
      </w:r>
    </w:p>
    <w:p w:rsidR="00381ACE" w:rsidRDefault="00381ACE" w:rsidP="00717D3E">
      <w:pPr>
        <w:pStyle w:val="BodyText3"/>
        <w:spacing w:line="360" w:lineRule="auto"/>
        <w:ind w:right="67"/>
        <w:rPr>
          <w:rFonts w:ascii="Bookman Old Style" w:eastAsiaTheme="minorEastAsia" w:hAnsi="Bookman Old Style" w:cs="Arial"/>
          <w:b w:val="0"/>
          <w:bCs w:val="0"/>
          <w:color w:val="000000" w:themeColor="text1"/>
          <w:szCs w:val="22"/>
        </w:rPr>
      </w:pPr>
      <w:r w:rsidRPr="00657A5A">
        <w:rPr>
          <w:rFonts w:ascii="Bookman Old Style" w:eastAsiaTheme="minorEastAsia" w:hAnsi="Bookman Old Style" w:cs="Arial"/>
          <w:b w:val="0"/>
          <w:bCs w:val="0"/>
          <w:color w:val="000000" w:themeColor="text1"/>
          <w:szCs w:val="22"/>
        </w:rPr>
        <w:t xml:space="preserve">Commission in its Tariff Order </w:t>
      </w:r>
      <w:r>
        <w:rPr>
          <w:rFonts w:ascii="Bookman Old Style" w:eastAsiaTheme="minorEastAsia" w:hAnsi="Bookman Old Style" w:cs="Arial"/>
          <w:b w:val="0"/>
          <w:bCs w:val="0"/>
          <w:color w:val="000000" w:themeColor="text1"/>
          <w:szCs w:val="22"/>
        </w:rPr>
        <w:t xml:space="preserve">2019 </w:t>
      </w:r>
      <w:r w:rsidRPr="00657A5A">
        <w:rPr>
          <w:rFonts w:ascii="Bookman Old Style" w:eastAsiaTheme="minorEastAsia" w:hAnsi="Bookman Old Style" w:cs="Arial"/>
          <w:b w:val="0"/>
          <w:bCs w:val="0"/>
          <w:color w:val="000000" w:themeColor="text1"/>
          <w:szCs w:val="22"/>
        </w:rPr>
        <w:t xml:space="preserve">dated </w:t>
      </w:r>
      <w:r>
        <w:rPr>
          <w:rFonts w:ascii="Bookman Old Style" w:eastAsiaTheme="minorEastAsia" w:hAnsi="Bookman Old Style" w:cs="Arial"/>
          <w:b w:val="0"/>
          <w:bCs w:val="0"/>
          <w:color w:val="000000" w:themeColor="text1"/>
          <w:szCs w:val="22"/>
        </w:rPr>
        <w:t xml:space="preserve">30.05.2019 </w:t>
      </w:r>
      <w:r w:rsidRPr="00657A5A">
        <w:rPr>
          <w:rFonts w:ascii="Bookman Old Style" w:eastAsiaTheme="minorEastAsia" w:hAnsi="Bookman Old Style" w:cs="Arial"/>
          <w:b w:val="0"/>
          <w:bCs w:val="0"/>
          <w:color w:val="000000" w:themeColor="text1"/>
          <w:szCs w:val="22"/>
        </w:rPr>
        <w:t xml:space="preserve">had approved other income to an extent of Rs. </w:t>
      </w:r>
      <w:r>
        <w:rPr>
          <w:rFonts w:ascii="Bookman Old Style" w:eastAsiaTheme="minorEastAsia" w:hAnsi="Bookman Old Style" w:cs="Arial"/>
          <w:b w:val="0"/>
          <w:bCs w:val="0"/>
          <w:color w:val="000000" w:themeColor="text1"/>
          <w:szCs w:val="22"/>
        </w:rPr>
        <w:t>270.58 Crs. for FY-20</w:t>
      </w:r>
      <w:r w:rsidR="00F469A5">
        <w:rPr>
          <w:rFonts w:ascii="Bookman Old Style" w:eastAsiaTheme="minorEastAsia" w:hAnsi="Bookman Old Style" w:cs="Arial"/>
          <w:b w:val="0"/>
          <w:bCs w:val="0"/>
          <w:color w:val="000000" w:themeColor="text1"/>
          <w:szCs w:val="22"/>
        </w:rPr>
        <w:t>.</w:t>
      </w:r>
    </w:p>
    <w:p w:rsidR="00381ACE" w:rsidRDefault="00381ACE" w:rsidP="00717D3E">
      <w:pPr>
        <w:pStyle w:val="BodyText3"/>
        <w:spacing w:line="360" w:lineRule="auto"/>
        <w:ind w:right="67"/>
        <w:rPr>
          <w:rFonts w:ascii="Bookman Old Style" w:eastAsiaTheme="minorEastAsia" w:hAnsi="Bookman Old Style" w:cs="Arial"/>
          <w:b w:val="0"/>
          <w:bCs w:val="0"/>
          <w:color w:val="000000" w:themeColor="text1"/>
          <w:szCs w:val="22"/>
        </w:rPr>
      </w:pPr>
      <w:r w:rsidRPr="00657A5A">
        <w:rPr>
          <w:rFonts w:ascii="Bookman Old Style" w:eastAsiaTheme="minorEastAsia" w:hAnsi="Bookman Old Style" w:cs="Arial"/>
          <w:b w:val="0"/>
          <w:bCs w:val="0"/>
          <w:color w:val="000000" w:themeColor="text1"/>
          <w:szCs w:val="22"/>
        </w:rPr>
        <w:t>As per the audited accounts for FY-</w:t>
      </w:r>
      <w:r>
        <w:rPr>
          <w:rFonts w:ascii="Bookman Old Style" w:eastAsiaTheme="minorEastAsia" w:hAnsi="Bookman Old Style" w:cs="Arial"/>
          <w:b w:val="0"/>
          <w:bCs w:val="0"/>
          <w:color w:val="000000" w:themeColor="text1"/>
          <w:szCs w:val="22"/>
        </w:rPr>
        <w:t>20</w:t>
      </w:r>
      <w:r w:rsidR="00522324" w:rsidRPr="00522324">
        <w:rPr>
          <w:rFonts w:ascii="Bookman Old Style" w:eastAsiaTheme="minorEastAsia" w:hAnsi="Bookman Old Style" w:cs="Arial"/>
          <w:b w:val="0"/>
          <w:bCs w:val="0"/>
          <w:color w:val="000000" w:themeColor="text1"/>
          <w:szCs w:val="22"/>
        </w:rPr>
        <w:t xml:space="preserve">(awaiting </w:t>
      </w:r>
      <w:r w:rsidR="00D714A4">
        <w:rPr>
          <w:rFonts w:ascii="Bookman Old Style" w:eastAsiaTheme="minorEastAsia" w:hAnsi="Bookman Old Style" w:cs="Arial"/>
          <w:b w:val="0"/>
          <w:bCs w:val="0"/>
          <w:color w:val="000000" w:themeColor="text1"/>
          <w:szCs w:val="22"/>
        </w:rPr>
        <w:t>B</w:t>
      </w:r>
      <w:r w:rsidR="00522324" w:rsidRPr="00522324">
        <w:rPr>
          <w:rFonts w:ascii="Bookman Old Style" w:eastAsiaTheme="minorEastAsia" w:hAnsi="Bookman Old Style" w:cs="Arial"/>
          <w:b w:val="0"/>
          <w:bCs w:val="0"/>
          <w:color w:val="000000" w:themeColor="text1"/>
          <w:szCs w:val="22"/>
        </w:rPr>
        <w:t>oard approval)</w:t>
      </w:r>
      <w:r w:rsidRPr="00657A5A">
        <w:rPr>
          <w:rFonts w:ascii="Bookman Old Style" w:eastAsiaTheme="minorEastAsia" w:hAnsi="Bookman Old Style" w:cs="Arial"/>
          <w:b w:val="0"/>
          <w:bCs w:val="0"/>
          <w:color w:val="000000" w:themeColor="text1"/>
          <w:szCs w:val="22"/>
        </w:rPr>
        <w:t xml:space="preserve"> other income is tabulated as under:</w:t>
      </w:r>
    </w:p>
    <w:p w:rsidR="00381ACE" w:rsidRPr="00056FD6" w:rsidRDefault="00381ACE" w:rsidP="00717D3E">
      <w:pPr>
        <w:pStyle w:val="BodyText3"/>
        <w:spacing w:line="360" w:lineRule="auto"/>
        <w:ind w:left="900" w:right="67"/>
        <w:rPr>
          <w:rFonts w:ascii="Bookman Old Style" w:hAnsi="Bookman Old Style"/>
          <w:color w:val="000000" w:themeColor="text1"/>
          <w:sz w:val="18"/>
          <w:szCs w:val="18"/>
          <w:lang w:eastAsia="en-IN"/>
        </w:rPr>
      </w:pPr>
      <w:r w:rsidRPr="00056FD6">
        <w:rPr>
          <w:rFonts w:ascii="Bookman Old Style" w:hAnsi="Bookman Old Style"/>
          <w:color w:val="000000" w:themeColor="text1"/>
          <w:sz w:val="18"/>
          <w:szCs w:val="18"/>
          <w:lang w:eastAsia="en-IN"/>
        </w:rPr>
        <w:t xml:space="preserve">                </w:t>
      </w:r>
      <w:r w:rsidR="004D2832" w:rsidRPr="00056FD6">
        <w:rPr>
          <w:rFonts w:ascii="Bookman Old Style" w:hAnsi="Bookman Old Style"/>
          <w:color w:val="000000" w:themeColor="text1"/>
          <w:sz w:val="18"/>
          <w:szCs w:val="18"/>
          <w:lang w:eastAsia="en-IN"/>
        </w:rPr>
        <w:t xml:space="preserve">                           </w:t>
      </w:r>
      <w:r w:rsidR="004D2832" w:rsidRPr="00056FD6">
        <w:rPr>
          <w:rFonts w:ascii="Bookman Old Style" w:hAnsi="Bookman Old Style"/>
          <w:b w:val="0"/>
          <w:color w:val="000000" w:themeColor="text1"/>
          <w:sz w:val="18"/>
          <w:szCs w:val="18"/>
        </w:rPr>
        <w:t xml:space="preserve"> </w:t>
      </w:r>
      <w:r w:rsidR="004D2832" w:rsidRPr="00056FD6">
        <w:rPr>
          <w:rFonts w:ascii="Bookman Old Style" w:hAnsi="Bookman Old Style" w:cs="Calibri"/>
          <w:bCs w:val="0"/>
          <w:sz w:val="18"/>
          <w:szCs w:val="18"/>
          <w:lang w:eastAsia="en-IN"/>
        </w:rPr>
        <w:t>Table 3.4</w:t>
      </w:r>
      <w:r w:rsidR="001F0DC3">
        <w:rPr>
          <w:rFonts w:ascii="Bookman Old Style" w:hAnsi="Bookman Old Style" w:cs="Calibri"/>
          <w:bCs w:val="0"/>
          <w:sz w:val="18"/>
          <w:szCs w:val="18"/>
          <w:lang w:eastAsia="en-IN"/>
        </w:rPr>
        <w:t>7</w:t>
      </w:r>
      <w:r w:rsidR="004D2832" w:rsidRPr="00056FD6">
        <w:rPr>
          <w:rFonts w:ascii="Bookman Old Style" w:hAnsi="Bookman Old Style"/>
          <w:color w:val="000000" w:themeColor="text1"/>
          <w:sz w:val="18"/>
          <w:szCs w:val="18"/>
          <w:lang w:eastAsia="en-IN"/>
        </w:rPr>
        <w:t xml:space="preserve">                                    </w:t>
      </w:r>
      <w:r w:rsidRPr="00056FD6">
        <w:rPr>
          <w:rFonts w:ascii="Bookman Old Style" w:hAnsi="Bookman Old Style"/>
          <w:color w:val="000000" w:themeColor="text1"/>
          <w:sz w:val="18"/>
          <w:szCs w:val="18"/>
          <w:lang w:eastAsia="en-IN"/>
        </w:rPr>
        <w:t>Amount in Crs</w:t>
      </w:r>
    </w:p>
    <w:tbl>
      <w:tblPr>
        <w:tblW w:w="8773" w:type="dxa"/>
        <w:jc w:val="center"/>
        <w:tblLook w:val="04A0" w:firstRow="1" w:lastRow="0" w:firstColumn="1" w:lastColumn="0" w:noHBand="0" w:noVBand="1"/>
      </w:tblPr>
      <w:tblGrid>
        <w:gridCol w:w="7472"/>
        <w:gridCol w:w="1301"/>
      </w:tblGrid>
      <w:tr w:rsidR="00381ACE" w:rsidRPr="008B0A50" w:rsidTr="005850F6">
        <w:trPr>
          <w:trHeight w:val="231"/>
          <w:jc w:val="center"/>
        </w:trPr>
        <w:tc>
          <w:tcPr>
            <w:tcW w:w="7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rPr>
                <w:rFonts w:ascii="Bookman Old Style" w:hAnsi="Bookman Old Style"/>
                <w:b/>
                <w:lang w:eastAsia="en-IN"/>
              </w:rPr>
            </w:pPr>
            <w:r w:rsidRPr="008B0A50">
              <w:rPr>
                <w:rFonts w:ascii="Bookman Old Style" w:hAnsi="Bookman Old Style"/>
                <w:b/>
                <w:lang w:eastAsia="en-IN"/>
              </w:rPr>
              <w:t>Particulars</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381ACE" w:rsidRPr="008B0A50" w:rsidRDefault="00381ACE" w:rsidP="008B0A50">
            <w:pPr>
              <w:spacing w:after="0" w:line="240" w:lineRule="auto"/>
              <w:ind w:right="67"/>
              <w:jc w:val="center"/>
              <w:rPr>
                <w:rFonts w:ascii="Bookman Old Style" w:hAnsi="Bookman Old Style"/>
                <w:b/>
                <w:bCs/>
                <w:lang w:eastAsia="en-IN"/>
              </w:rPr>
            </w:pPr>
            <w:r w:rsidRPr="008B0A50">
              <w:rPr>
                <w:rFonts w:ascii="Bookman Old Style" w:hAnsi="Bookman Old Style"/>
                <w:b/>
                <w:bCs/>
                <w:lang w:eastAsia="en-IN"/>
              </w:rPr>
              <w:t>2019-20</w:t>
            </w:r>
          </w:p>
        </w:tc>
      </w:tr>
      <w:tr w:rsidR="00381ACE" w:rsidRPr="008B0A50" w:rsidTr="005850F6">
        <w:trPr>
          <w:trHeight w:val="344"/>
          <w:jc w:val="center"/>
        </w:trPr>
        <w:tc>
          <w:tcPr>
            <w:tcW w:w="7472" w:type="dxa"/>
            <w:tcBorders>
              <w:top w:val="nil"/>
              <w:left w:val="single" w:sz="4" w:space="0" w:color="auto"/>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rPr>
                <w:rFonts w:ascii="Bookman Old Style" w:hAnsi="Bookman Old Style"/>
                <w:lang w:eastAsia="en-IN"/>
              </w:rPr>
            </w:pPr>
            <w:r w:rsidRPr="008B0A50">
              <w:rPr>
                <w:rFonts w:ascii="Bookman Old Style" w:hAnsi="Bookman Old Style"/>
                <w:lang w:eastAsia="en-IN"/>
              </w:rPr>
              <w:t>Interest on Income</w:t>
            </w:r>
          </w:p>
        </w:tc>
        <w:tc>
          <w:tcPr>
            <w:tcW w:w="1301" w:type="dxa"/>
            <w:tcBorders>
              <w:top w:val="nil"/>
              <w:left w:val="nil"/>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jc w:val="right"/>
              <w:rPr>
                <w:rFonts w:ascii="Bookman Old Style" w:hAnsi="Bookman Old Style"/>
                <w:lang w:eastAsia="en-IN"/>
              </w:rPr>
            </w:pPr>
            <w:r w:rsidRPr="008B0A50">
              <w:rPr>
                <w:rFonts w:ascii="Bookman Old Style" w:hAnsi="Bookman Old Style"/>
                <w:lang w:eastAsia="en-IN"/>
              </w:rPr>
              <w:t>9.17</w:t>
            </w:r>
          </w:p>
        </w:tc>
      </w:tr>
      <w:tr w:rsidR="00381ACE" w:rsidRPr="008B0A50" w:rsidTr="005850F6">
        <w:trPr>
          <w:trHeight w:val="348"/>
          <w:jc w:val="center"/>
        </w:trPr>
        <w:tc>
          <w:tcPr>
            <w:tcW w:w="7472" w:type="dxa"/>
            <w:tcBorders>
              <w:top w:val="nil"/>
              <w:left w:val="single" w:sz="4" w:space="0" w:color="auto"/>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rPr>
                <w:rFonts w:ascii="Bookman Old Style" w:hAnsi="Bookman Old Style"/>
                <w:lang w:eastAsia="en-IN"/>
              </w:rPr>
            </w:pPr>
            <w:r w:rsidRPr="008B0A50">
              <w:rPr>
                <w:rFonts w:ascii="Bookman Old Style" w:hAnsi="Bookman Old Style"/>
                <w:lang w:eastAsia="en-IN"/>
              </w:rPr>
              <w:t>Profit on sale  of stores</w:t>
            </w:r>
          </w:p>
        </w:tc>
        <w:tc>
          <w:tcPr>
            <w:tcW w:w="1301" w:type="dxa"/>
            <w:tcBorders>
              <w:top w:val="nil"/>
              <w:left w:val="nil"/>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jc w:val="right"/>
              <w:rPr>
                <w:rFonts w:ascii="Bookman Old Style" w:hAnsi="Bookman Old Style"/>
                <w:lang w:eastAsia="en-IN"/>
              </w:rPr>
            </w:pPr>
            <w:r w:rsidRPr="008B0A50">
              <w:rPr>
                <w:rFonts w:ascii="Bookman Old Style" w:hAnsi="Bookman Old Style"/>
                <w:lang w:eastAsia="en-IN"/>
              </w:rPr>
              <w:t>0.26</w:t>
            </w:r>
          </w:p>
        </w:tc>
      </w:tr>
      <w:tr w:rsidR="00381ACE" w:rsidRPr="008B0A50" w:rsidTr="005850F6">
        <w:trPr>
          <w:trHeight w:val="366"/>
          <w:jc w:val="center"/>
        </w:trPr>
        <w:tc>
          <w:tcPr>
            <w:tcW w:w="7472" w:type="dxa"/>
            <w:tcBorders>
              <w:top w:val="nil"/>
              <w:left w:val="single" w:sz="4" w:space="0" w:color="auto"/>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rPr>
                <w:rFonts w:ascii="Bookman Old Style" w:hAnsi="Bookman Old Style"/>
                <w:lang w:eastAsia="en-IN"/>
              </w:rPr>
            </w:pPr>
            <w:r w:rsidRPr="008B0A50">
              <w:rPr>
                <w:rFonts w:ascii="Bookman Old Style" w:hAnsi="Bookman Old Style"/>
                <w:lang w:eastAsia="en-IN"/>
              </w:rPr>
              <w:t>Losses/gain relating to fixed Assets</w:t>
            </w:r>
          </w:p>
        </w:tc>
        <w:tc>
          <w:tcPr>
            <w:tcW w:w="1301" w:type="dxa"/>
            <w:tcBorders>
              <w:top w:val="nil"/>
              <w:left w:val="nil"/>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jc w:val="right"/>
              <w:rPr>
                <w:rFonts w:ascii="Bookman Old Style" w:hAnsi="Bookman Old Style"/>
                <w:lang w:eastAsia="en-IN"/>
              </w:rPr>
            </w:pPr>
            <w:r w:rsidRPr="008B0A50">
              <w:rPr>
                <w:rFonts w:ascii="Bookman Old Style" w:hAnsi="Bookman Old Style"/>
                <w:lang w:eastAsia="en-IN"/>
              </w:rPr>
              <w:t>-11.01</w:t>
            </w:r>
          </w:p>
        </w:tc>
      </w:tr>
      <w:tr w:rsidR="00381ACE" w:rsidRPr="008B0A50" w:rsidTr="005850F6">
        <w:trPr>
          <w:trHeight w:val="188"/>
          <w:jc w:val="center"/>
        </w:trPr>
        <w:tc>
          <w:tcPr>
            <w:tcW w:w="7472" w:type="dxa"/>
            <w:tcBorders>
              <w:top w:val="nil"/>
              <w:left w:val="single" w:sz="4" w:space="0" w:color="auto"/>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rPr>
                <w:rFonts w:ascii="Bookman Old Style" w:hAnsi="Bookman Old Style"/>
                <w:lang w:eastAsia="en-IN"/>
              </w:rPr>
            </w:pPr>
            <w:r w:rsidRPr="008B0A50">
              <w:rPr>
                <w:rFonts w:ascii="Bookman Old Style" w:hAnsi="Bookman Old Style"/>
                <w:lang w:eastAsia="en-IN"/>
              </w:rPr>
              <w:t>Rent</w:t>
            </w:r>
          </w:p>
        </w:tc>
        <w:tc>
          <w:tcPr>
            <w:tcW w:w="1301" w:type="dxa"/>
            <w:tcBorders>
              <w:top w:val="nil"/>
              <w:left w:val="nil"/>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jc w:val="right"/>
              <w:rPr>
                <w:rFonts w:ascii="Bookman Old Style" w:hAnsi="Bookman Old Style"/>
                <w:lang w:eastAsia="en-IN"/>
              </w:rPr>
            </w:pPr>
            <w:r w:rsidRPr="008B0A50">
              <w:rPr>
                <w:rFonts w:ascii="Bookman Old Style" w:hAnsi="Bookman Old Style"/>
                <w:lang w:eastAsia="en-IN"/>
              </w:rPr>
              <w:t>3.19</w:t>
            </w:r>
          </w:p>
        </w:tc>
      </w:tr>
      <w:tr w:rsidR="00381ACE" w:rsidRPr="008B0A50" w:rsidTr="005850F6">
        <w:trPr>
          <w:trHeight w:val="83"/>
          <w:jc w:val="center"/>
        </w:trPr>
        <w:tc>
          <w:tcPr>
            <w:tcW w:w="7472" w:type="dxa"/>
            <w:tcBorders>
              <w:top w:val="nil"/>
              <w:left w:val="single" w:sz="4" w:space="0" w:color="auto"/>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rPr>
                <w:rFonts w:ascii="Bookman Old Style" w:hAnsi="Bookman Old Style"/>
                <w:lang w:eastAsia="en-IN"/>
              </w:rPr>
            </w:pPr>
            <w:r w:rsidRPr="008B0A50">
              <w:rPr>
                <w:rFonts w:ascii="Bookman Old Style" w:hAnsi="Bookman Old Style"/>
                <w:lang w:eastAsia="en-IN"/>
              </w:rPr>
              <w:t>Incentive Received</w:t>
            </w:r>
          </w:p>
        </w:tc>
        <w:tc>
          <w:tcPr>
            <w:tcW w:w="1301" w:type="dxa"/>
            <w:tcBorders>
              <w:top w:val="nil"/>
              <w:left w:val="nil"/>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jc w:val="right"/>
              <w:rPr>
                <w:rFonts w:ascii="Bookman Old Style" w:hAnsi="Bookman Old Style"/>
                <w:lang w:eastAsia="en-IN"/>
              </w:rPr>
            </w:pPr>
            <w:r w:rsidRPr="008B0A50">
              <w:rPr>
                <w:rFonts w:ascii="Bookman Old Style" w:hAnsi="Bookman Old Style"/>
                <w:lang w:eastAsia="en-IN"/>
              </w:rPr>
              <w:t>122.35</w:t>
            </w:r>
          </w:p>
        </w:tc>
      </w:tr>
      <w:tr w:rsidR="00381ACE" w:rsidRPr="008B0A50" w:rsidTr="005850F6">
        <w:trPr>
          <w:trHeight w:val="188"/>
          <w:jc w:val="center"/>
        </w:trPr>
        <w:tc>
          <w:tcPr>
            <w:tcW w:w="7472" w:type="dxa"/>
            <w:tcBorders>
              <w:top w:val="nil"/>
              <w:left w:val="single" w:sz="4" w:space="0" w:color="auto"/>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rPr>
                <w:rFonts w:ascii="Bookman Old Style" w:hAnsi="Bookman Old Style"/>
                <w:lang w:eastAsia="en-IN"/>
              </w:rPr>
            </w:pPr>
            <w:r w:rsidRPr="008B0A50">
              <w:rPr>
                <w:rFonts w:ascii="Bookman Old Style" w:hAnsi="Bookman Old Style"/>
                <w:lang w:eastAsia="en-IN"/>
              </w:rPr>
              <w:t>Value of materials found excess during physical verification</w:t>
            </w:r>
          </w:p>
        </w:tc>
        <w:tc>
          <w:tcPr>
            <w:tcW w:w="1301" w:type="dxa"/>
            <w:tcBorders>
              <w:top w:val="nil"/>
              <w:left w:val="nil"/>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jc w:val="right"/>
              <w:rPr>
                <w:rFonts w:ascii="Bookman Old Style" w:hAnsi="Bookman Old Style"/>
                <w:lang w:eastAsia="en-IN"/>
              </w:rPr>
            </w:pPr>
            <w:r w:rsidRPr="008B0A50">
              <w:rPr>
                <w:rFonts w:ascii="Bookman Old Style" w:hAnsi="Bookman Old Style"/>
                <w:lang w:eastAsia="en-IN"/>
              </w:rPr>
              <w:t>0.14</w:t>
            </w:r>
          </w:p>
        </w:tc>
      </w:tr>
      <w:tr w:rsidR="00381ACE" w:rsidRPr="008B0A50" w:rsidTr="005850F6">
        <w:trPr>
          <w:trHeight w:val="188"/>
          <w:jc w:val="center"/>
        </w:trPr>
        <w:tc>
          <w:tcPr>
            <w:tcW w:w="7472" w:type="dxa"/>
            <w:tcBorders>
              <w:top w:val="nil"/>
              <w:left w:val="single" w:sz="4" w:space="0" w:color="auto"/>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rPr>
                <w:rFonts w:ascii="Bookman Old Style" w:hAnsi="Bookman Old Style"/>
                <w:lang w:eastAsia="en-IN"/>
              </w:rPr>
            </w:pPr>
            <w:r w:rsidRPr="008B0A50">
              <w:rPr>
                <w:rFonts w:ascii="Bookman Old Style" w:hAnsi="Bookman Old Style"/>
                <w:lang w:eastAsia="en-IN"/>
              </w:rPr>
              <w:t>Miscellaneous</w:t>
            </w:r>
          </w:p>
        </w:tc>
        <w:tc>
          <w:tcPr>
            <w:tcW w:w="1301" w:type="dxa"/>
            <w:tcBorders>
              <w:top w:val="nil"/>
              <w:left w:val="nil"/>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jc w:val="right"/>
              <w:rPr>
                <w:rFonts w:ascii="Bookman Old Style" w:hAnsi="Bookman Old Style"/>
                <w:lang w:eastAsia="en-IN"/>
              </w:rPr>
            </w:pPr>
            <w:r w:rsidRPr="008B0A50">
              <w:rPr>
                <w:rFonts w:ascii="Bookman Old Style" w:hAnsi="Bookman Old Style"/>
                <w:lang w:eastAsia="en-IN"/>
              </w:rPr>
              <w:t>148.66</w:t>
            </w:r>
          </w:p>
        </w:tc>
      </w:tr>
      <w:tr w:rsidR="00381ACE" w:rsidRPr="008B0A50" w:rsidTr="005850F6">
        <w:trPr>
          <w:trHeight w:val="188"/>
          <w:jc w:val="center"/>
        </w:trPr>
        <w:tc>
          <w:tcPr>
            <w:tcW w:w="7472" w:type="dxa"/>
            <w:tcBorders>
              <w:top w:val="nil"/>
              <w:left w:val="single" w:sz="4" w:space="0" w:color="auto"/>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rPr>
                <w:rFonts w:ascii="Bookman Old Style" w:hAnsi="Bookman Old Style"/>
                <w:lang w:eastAsia="en-IN"/>
              </w:rPr>
            </w:pPr>
            <w:r w:rsidRPr="008B0A50">
              <w:rPr>
                <w:rFonts w:ascii="Bookman Old Style" w:hAnsi="Bookman Old Style"/>
                <w:lang w:eastAsia="en-IN"/>
              </w:rPr>
              <w:t>Interest subsidy received under National Electricity Fund Scheme</w:t>
            </w:r>
          </w:p>
        </w:tc>
        <w:tc>
          <w:tcPr>
            <w:tcW w:w="1301" w:type="dxa"/>
            <w:tcBorders>
              <w:top w:val="nil"/>
              <w:left w:val="nil"/>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jc w:val="right"/>
              <w:rPr>
                <w:rFonts w:ascii="Bookman Old Style" w:hAnsi="Bookman Old Style"/>
                <w:lang w:eastAsia="en-IN"/>
              </w:rPr>
            </w:pPr>
            <w:r w:rsidRPr="008B0A50">
              <w:rPr>
                <w:rFonts w:ascii="Bookman Old Style" w:hAnsi="Bookman Old Style"/>
                <w:lang w:eastAsia="en-IN"/>
              </w:rPr>
              <w:t>0.00</w:t>
            </w:r>
          </w:p>
        </w:tc>
      </w:tr>
      <w:tr w:rsidR="00381ACE" w:rsidRPr="008B0A50" w:rsidTr="005850F6">
        <w:trPr>
          <w:trHeight w:val="340"/>
          <w:jc w:val="center"/>
        </w:trPr>
        <w:tc>
          <w:tcPr>
            <w:tcW w:w="7472" w:type="dxa"/>
            <w:tcBorders>
              <w:top w:val="nil"/>
              <w:left w:val="single" w:sz="4" w:space="0" w:color="auto"/>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rPr>
                <w:rFonts w:ascii="Bookman Old Style" w:hAnsi="Bookman Old Style"/>
                <w:lang w:eastAsia="en-IN"/>
              </w:rPr>
            </w:pPr>
            <w:r w:rsidRPr="008B0A50">
              <w:rPr>
                <w:rFonts w:ascii="Bookman Old Style" w:hAnsi="Bookman Old Style"/>
                <w:lang w:eastAsia="en-IN"/>
              </w:rPr>
              <w:t>Rebate 0.5% for Collection of Electricity Duty</w:t>
            </w:r>
          </w:p>
        </w:tc>
        <w:tc>
          <w:tcPr>
            <w:tcW w:w="1301" w:type="dxa"/>
            <w:tcBorders>
              <w:top w:val="nil"/>
              <w:left w:val="nil"/>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jc w:val="right"/>
              <w:rPr>
                <w:rFonts w:ascii="Bookman Old Style" w:hAnsi="Bookman Old Style"/>
                <w:lang w:eastAsia="en-IN"/>
              </w:rPr>
            </w:pPr>
            <w:r w:rsidRPr="008B0A50">
              <w:rPr>
                <w:rFonts w:ascii="Bookman Old Style" w:hAnsi="Bookman Old Style"/>
                <w:lang w:eastAsia="en-IN"/>
              </w:rPr>
              <w:t>7.05</w:t>
            </w:r>
          </w:p>
        </w:tc>
      </w:tr>
      <w:tr w:rsidR="00381ACE" w:rsidRPr="008B0A50" w:rsidTr="005850F6">
        <w:trPr>
          <w:trHeight w:val="188"/>
          <w:jc w:val="center"/>
        </w:trPr>
        <w:tc>
          <w:tcPr>
            <w:tcW w:w="7472" w:type="dxa"/>
            <w:tcBorders>
              <w:top w:val="nil"/>
              <w:left w:val="single" w:sz="4" w:space="0" w:color="auto"/>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rPr>
                <w:rFonts w:ascii="Bookman Old Style" w:hAnsi="Bookman Old Style"/>
                <w:lang w:eastAsia="en-IN"/>
              </w:rPr>
            </w:pPr>
            <w:r w:rsidRPr="008B0A50">
              <w:rPr>
                <w:rFonts w:ascii="Bookman Old Style" w:hAnsi="Bookman Old Style"/>
                <w:lang w:eastAsia="en-IN"/>
              </w:rPr>
              <w:t>Revenue from sale of power through Indian Energy Exchange (IEX)</w:t>
            </w:r>
          </w:p>
        </w:tc>
        <w:tc>
          <w:tcPr>
            <w:tcW w:w="1301" w:type="dxa"/>
            <w:tcBorders>
              <w:top w:val="nil"/>
              <w:left w:val="nil"/>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jc w:val="right"/>
              <w:rPr>
                <w:rFonts w:ascii="Bookman Old Style" w:hAnsi="Bookman Old Style"/>
                <w:lang w:eastAsia="en-IN"/>
              </w:rPr>
            </w:pPr>
            <w:r w:rsidRPr="008B0A50">
              <w:rPr>
                <w:rFonts w:ascii="Bookman Old Style" w:hAnsi="Bookman Old Style"/>
                <w:lang w:eastAsia="en-IN"/>
              </w:rPr>
              <w:t>200.41</w:t>
            </w:r>
          </w:p>
        </w:tc>
      </w:tr>
      <w:tr w:rsidR="00381ACE" w:rsidRPr="008B0A50" w:rsidTr="005850F6">
        <w:trPr>
          <w:trHeight w:val="188"/>
          <w:jc w:val="center"/>
        </w:trPr>
        <w:tc>
          <w:tcPr>
            <w:tcW w:w="7472" w:type="dxa"/>
            <w:tcBorders>
              <w:top w:val="nil"/>
              <w:left w:val="single" w:sz="4" w:space="0" w:color="auto"/>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rPr>
                <w:rFonts w:ascii="Bookman Old Style" w:hAnsi="Bookman Old Style"/>
                <w:b/>
                <w:bCs/>
                <w:lang w:eastAsia="en-IN"/>
              </w:rPr>
            </w:pPr>
            <w:r w:rsidRPr="008B0A50">
              <w:rPr>
                <w:rFonts w:ascii="Bookman Old Style" w:hAnsi="Bookman Old Style"/>
                <w:b/>
                <w:bCs/>
                <w:lang w:eastAsia="en-IN"/>
              </w:rPr>
              <w:t>TOTAL</w:t>
            </w:r>
          </w:p>
        </w:tc>
        <w:tc>
          <w:tcPr>
            <w:tcW w:w="1301" w:type="dxa"/>
            <w:tcBorders>
              <w:top w:val="nil"/>
              <w:left w:val="nil"/>
              <w:bottom w:val="single" w:sz="4" w:space="0" w:color="auto"/>
              <w:right w:val="single" w:sz="4" w:space="0" w:color="auto"/>
            </w:tcBorders>
            <w:shd w:val="clear" w:color="auto" w:fill="auto"/>
            <w:noWrap/>
            <w:vAlign w:val="center"/>
            <w:hideMark/>
          </w:tcPr>
          <w:p w:rsidR="00381ACE" w:rsidRPr="008B0A50" w:rsidRDefault="00381ACE" w:rsidP="008B0A50">
            <w:pPr>
              <w:spacing w:after="0" w:line="240" w:lineRule="auto"/>
              <w:ind w:right="67"/>
              <w:jc w:val="right"/>
              <w:rPr>
                <w:rFonts w:ascii="Bookman Old Style" w:hAnsi="Bookman Old Style"/>
                <w:b/>
                <w:bCs/>
                <w:lang w:eastAsia="en-IN"/>
              </w:rPr>
            </w:pPr>
            <w:r w:rsidRPr="008B0A50">
              <w:rPr>
                <w:rFonts w:ascii="Bookman Old Style" w:hAnsi="Bookman Old Style"/>
                <w:b/>
                <w:bCs/>
                <w:lang w:eastAsia="en-IN"/>
              </w:rPr>
              <w:t>480.23</w:t>
            </w:r>
          </w:p>
        </w:tc>
      </w:tr>
    </w:tbl>
    <w:p w:rsidR="00381ACE" w:rsidRDefault="00381ACE" w:rsidP="00717D3E">
      <w:pPr>
        <w:pStyle w:val="BodyText3"/>
        <w:spacing w:line="360" w:lineRule="auto"/>
        <w:ind w:left="900" w:right="67"/>
        <w:rPr>
          <w:rFonts w:ascii="Bookman Old Style" w:hAnsi="Bookman Old Style"/>
          <w:color w:val="000000" w:themeColor="text1"/>
          <w:sz w:val="18"/>
          <w:szCs w:val="18"/>
          <w:lang w:eastAsia="en-IN"/>
        </w:rPr>
      </w:pPr>
    </w:p>
    <w:p w:rsidR="00381ACE" w:rsidRPr="00657A5A" w:rsidRDefault="00381ACE" w:rsidP="00717D3E">
      <w:pPr>
        <w:pStyle w:val="BodyText3"/>
        <w:spacing w:line="360" w:lineRule="auto"/>
        <w:ind w:right="67"/>
        <w:rPr>
          <w:rFonts w:ascii="Bookman Old Style" w:eastAsiaTheme="minorEastAsia" w:hAnsi="Bookman Old Style" w:cs="Arial"/>
          <w:b w:val="0"/>
          <w:bCs w:val="0"/>
          <w:color w:val="000000" w:themeColor="text1"/>
          <w:szCs w:val="22"/>
        </w:rPr>
      </w:pPr>
      <w:r w:rsidRPr="00657A5A">
        <w:rPr>
          <w:rFonts w:ascii="Bookman Old Style" w:eastAsiaTheme="minorEastAsia" w:hAnsi="Bookman Old Style" w:cs="Arial"/>
          <w:b w:val="0"/>
          <w:bCs w:val="0"/>
          <w:color w:val="000000" w:themeColor="text1"/>
          <w:szCs w:val="22"/>
        </w:rPr>
        <w:lastRenderedPageBreak/>
        <w:t>Major portion of other income is from incentives received i.e., Rs.</w:t>
      </w:r>
      <w:r>
        <w:rPr>
          <w:rFonts w:ascii="Bookman Old Style" w:eastAsiaTheme="minorEastAsia" w:hAnsi="Bookman Old Style" w:cs="Arial"/>
          <w:b w:val="0"/>
          <w:bCs w:val="0"/>
          <w:color w:val="000000" w:themeColor="text1"/>
          <w:szCs w:val="22"/>
        </w:rPr>
        <w:t>122.35</w:t>
      </w:r>
      <w:r w:rsidRPr="00657A5A">
        <w:rPr>
          <w:rFonts w:ascii="Bookman Old Style" w:eastAsiaTheme="minorEastAsia" w:hAnsi="Bookman Old Style" w:cs="Arial"/>
          <w:b w:val="0"/>
          <w:bCs w:val="0"/>
          <w:color w:val="000000" w:themeColor="text1"/>
          <w:szCs w:val="22"/>
        </w:rPr>
        <w:t xml:space="preserve"> Crs.</w:t>
      </w:r>
    </w:p>
    <w:p w:rsidR="00381ACE" w:rsidRPr="00657A5A" w:rsidRDefault="00381ACE" w:rsidP="00717D3E">
      <w:pPr>
        <w:spacing w:line="360" w:lineRule="auto"/>
        <w:ind w:right="67"/>
        <w:jc w:val="both"/>
        <w:rPr>
          <w:rFonts w:ascii="Bookman Old Style" w:eastAsia="Century Gothic" w:hAnsi="Bookman Old Style" w:cs="Century Gothic"/>
          <w:color w:val="000000" w:themeColor="text1"/>
        </w:rPr>
      </w:pPr>
      <w:r w:rsidRPr="00657A5A">
        <w:rPr>
          <w:rFonts w:ascii="Bookman Old Style" w:eastAsia="Century Gothic" w:hAnsi="Bookman Old Style" w:cs="Century Gothic"/>
          <w:color w:val="000000" w:themeColor="text1"/>
        </w:rPr>
        <w:t>With efficient financial management, power purchase bills are being paid in advance to earn incentives on this count. Company is drawing overdraft from the commercial bank and making advance payments to the Generators to earn arbitrage in the difference of interest on over draft and the incentive earned.</w:t>
      </w:r>
    </w:p>
    <w:p w:rsidR="00381ACE" w:rsidRPr="00657A5A" w:rsidRDefault="00381ACE" w:rsidP="00717D3E">
      <w:pPr>
        <w:spacing w:line="360" w:lineRule="auto"/>
        <w:ind w:right="67"/>
        <w:jc w:val="both"/>
        <w:rPr>
          <w:rFonts w:ascii="Bookman Old Style" w:eastAsia="Century Gothic" w:hAnsi="Bookman Old Style" w:cs="Century Gothic"/>
          <w:color w:val="000000" w:themeColor="text1"/>
        </w:rPr>
      </w:pPr>
      <w:r w:rsidRPr="00657A5A">
        <w:rPr>
          <w:rFonts w:ascii="Bookman Old Style" w:eastAsia="Century Gothic" w:hAnsi="Bookman Old Style" w:cs="Century Gothic"/>
          <w:color w:val="000000" w:themeColor="text1"/>
        </w:rPr>
        <w:t>In this context National Tariff policy, is also quoted for supporting the claims. National tariff policy states that</w:t>
      </w:r>
    </w:p>
    <w:p w:rsidR="00381ACE" w:rsidRPr="009B36B4" w:rsidRDefault="00381ACE" w:rsidP="009B36B4">
      <w:pPr>
        <w:spacing w:line="360" w:lineRule="auto"/>
        <w:ind w:left="567" w:right="634"/>
        <w:jc w:val="both"/>
        <w:rPr>
          <w:rFonts w:ascii="Bookman Old Style" w:eastAsia="Century Gothic" w:hAnsi="Bookman Old Style" w:cs="Century Gothic"/>
          <w:i/>
          <w:color w:val="000000" w:themeColor="text1"/>
        </w:rPr>
      </w:pPr>
      <w:r w:rsidRPr="009B36B4">
        <w:rPr>
          <w:rFonts w:ascii="Bookman Old Style" w:eastAsia="Century Gothic" w:hAnsi="Bookman Old Style" w:cs="Century Gothic"/>
          <w:i/>
          <w:color w:val="000000" w:themeColor="text1"/>
        </w:rPr>
        <w:t>“…….Making the distribution segment of the industry efficient and solvent is the key to success of power sector reforms and provision of services of specified standards. Therefore, the Regulatory Commissions need to strike the right balance between the requirements of the commercial viability of distribution licensees and consumer interests. Loss making utilities need to be transformed into profitable ventures which can raise necessary resources from the capital markets to provide services of international standards to enable India to achieve its full growth potential. Efficiency in operations should be encouraged. Gains of efficient operations with reference to normative parameters should be appropriately shared between consumers and licensees…………….”</w:t>
      </w:r>
    </w:p>
    <w:p w:rsidR="00381ACE" w:rsidRPr="00657A5A" w:rsidRDefault="00381ACE" w:rsidP="00717D3E">
      <w:pPr>
        <w:spacing w:line="360" w:lineRule="auto"/>
        <w:ind w:right="67"/>
        <w:jc w:val="both"/>
        <w:rPr>
          <w:rFonts w:ascii="Bookman Old Style" w:eastAsia="Century Gothic" w:hAnsi="Bookman Old Style" w:cs="Century Gothic"/>
          <w:color w:val="000000" w:themeColor="text1"/>
        </w:rPr>
      </w:pPr>
      <w:r w:rsidRPr="00657A5A">
        <w:rPr>
          <w:rFonts w:ascii="Bookman Old Style" w:eastAsia="Century Gothic" w:hAnsi="Bookman Old Style" w:cs="Century Gothic"/>
          <w:color w:val="000000" w:themeColor="text1"/>
        </w:rPr>
        <w:t xml:space="preserve">State Commission is disallowing the interest on belated power purchase payment bills under the concept that interest on working capital is being passed through. On the same lines, Incentive earned by the Distribution Company should be allowed to be retained by the Distribution Company as an efficiency gain. </w:t>
      </w:r>
    </w:p>
    <w:p w:rsidR="00381ACE" w:rsidRPr="00657A5A" w:rsidRDefault="00381ACE" w:rsidP="00717D3E">
      <w:pPr>
        <w:spacing w:line="360" w:lineRule="auto"/>
        <w:ind w:right="67"/>
        <w:jc w:val="both"/>
        <w:rPr>
          <w:rFonts w:ascii="Bookman Old Style" w:eastAsia="Century Gothic" w:hAnsi="Bookman Old Style" w:cs="Century Gothic"/>
          <w:color w:val="000000" w:themeColor="text1"/>
        </w:rPr>
      </w:pPr>
      <w:r w:rsidRPr="00657A5A">
        <w:rPr>
          <w:rFonts w:ascii="Bookman Old Style" w:eastAsia="Century Gothic" w:hAnsi="Bookman Old Style" w:cs="Century Gothic"/>
          <w:color w:val="000000" w:themeColor="text1"/>
        </w:rPr>
        <w:t xml:space="preserve">BESCOM is facing serious cash flow problems. Under recovery of costs over the years ended in poor financial position. If the efficiency parameters are </w:t>
      </w:r>
      <w:r w:rsidRPr="00793F14">
        <w:rPr>
          <w:rFonts w:ascii="Bookman Old Style" w:eastAsia="Century Gothic" w:hAnsi="Bookman Old Style" w:cs="Century Gothic"/>
        </w:rPr>
        <w:t xml:space="preserve">not </w:t>
      </w:r>
      <w:r w:rsidR="00793F14" w:rsidRPr="00793F14">
        <w:rPr>
          <w:rFonts w:ascii="Bookman Old Style" w:eastAsia="Century Gothic" w:hAnsi="Bookman Old Style" w:cs="Century Gothic"/>
        </w:rPr>
        <w:t>appraised</w:t>
      </w:r>
      <w:r w:rsidRPr="00793F14">
        <w:rPr>
          <w:rFonts w:ascii="Bookman Old Style" w:eastAsia="Century Gothic" w:hAnsi="Bookman Old Style" w:cs="Century Gothic"/>
        </w:rPr>
        <w:t xml:space="preserve"> and </w:t>
      </w:r>
      <w:r w:rsidRPr="00657A5A">
        <w:rPr>
          <w:rFonts w:ascii="Bookman Old Style" w:eastAsia="Century Gothic" w:hAnsi="Bookman Old Style" w:cs="Century Gothic"/>
          <w:color w:val="000000" w:themeColor="text1"/>
        </w:rPr>
        <w:t xml:space="preserve">not fully allowed to retain it will result in disallowing the costs and capturing the income.  BESCOM requests the Hon’ble Commission to share the efficiency gain by at least 50%. </w:t>
      </w:r>
    </w:p>
    <w:p w:rsidR="005850F6" w:rsidRDefault="005850F6" w:rsidP="00717D3E">
      <w:pPr>
        <w:pStyle w:val="BodyText3"/>
        <w:spacing w:line="360" w:lineRule="auto"/>
        <w:ind w:right="67"/>
        <w:rPr>
          <w:rFonts w:ascii="Bookman Old Style" w:eastAsiaTheme="minorEastAsia" w:hAnsi="Bookman Old Style" w:cs="Arial"/>
          <w:b w:val="0"/>
          <w:bCs w:val="0"/>
          <w:color w:val="000000" w:themeColor="text1"/>
          <w:szCs w:val="22"/>
        </w:rPr>
      </w:pPr>
    </w:p>
    <w:p w:rsidR="005850F6" w:rsidRDefault="005850F6" w:rsidP="00717D3E">
      <w:pPr>
        <w:pStyle w:val="BodyText3"/>
        <w:spacing w:line="360" w:lineRule="auto"/>
        <w:ind w:right="67"/>
        <w:rPr>
          <w:rFonts w:ascii="Bookman Old Style" w:eastAsiaTheme="minorEastAsia" w:hAnsi="Bookman Old Style" w:cs="Arial"/>
          <w:b w:val="0"/>
          <w:bCs w:val="0"/>
          <w:color w:val="000000" w:themeColor="text1"/>
          <w:szCs w:val="22"/>
        </w:rPr>
      </w:pPr>
    </w:p>
    <w:p w:rsidR="005850F6" w:rsidRDefault="005850F6" w:rsidP="00717D3E">
      <w:pPr>
        <w:pStyle w:val="BodyText3"/>
        <w:spacing w:line="360" w:lineRule="auto"/>
        <w:ind w:right="67"/>
        <w:rPr>
          <w:rFonts w:ascii="Bookman Old Style" w:eastAsiaTheme="minorEastAsia" w:hAnsi="Bookman Old Style" w:cs="Arial"/>
          <w:b w:val="0"/>
          <w:bCs w:val="0"/>
          <w:color w:val="000000" w:themeColor="text1"/>
          <w:szCs w:val="22"/>
        </w:rPr>
      </w:pPr>
    </w:p>
    <w:p w:rsidR="005850F6" w:rsidRDefault="005850F6" w:rsidP="00717D3E">
      <w:pPr>
        <w:pStyle w:val="BodyText3"/>
        <w:spacing w:line="360" w:lineRule="auto"/>
        <w:ind w:right="67"/>
        <w:rPr>
          <w:rFonts w:ascii="Bookman Old Style" w:eastAsiaTheme="minorEastAsia" w:hAnsi="Bookman Old Style" w:cs="Arial"/>
          <w:b w:val="0"/>
          <w:bCs w:val="0"/>
          <w:color w:val="000000" w:themeColor="text1"/>
          <w:szCs w:val="22"/>
        </w:rPr>
      </w:pPr>
    </w:p>
    <w:p w:rsidR="005850F6" w:rsidRDefault="005850F6" w:rsidP="00717D3E">
      <w:pPr>
        <w:pStyle w:val="BodyText3"/>
        <w:spacing w:line="360" w:lineRule="auto"/>
        <w:ind w:right="67"/>
        <w:rPr>
          <w:rFonts w:ascii="Bookman Old Style" w:eastAsiaTheme="minorEastAsia" w:hAnsi="Bookman Old Style" w:cs="Arial"/>
          <w:b w:val="0"/>
          <w:bCs w:val="0"/>
          <w:color w:val="000000" w:themeColor="text1"/>
          <w:szCs w:val="22"/>
        </w:rPr>
      </w:pPr>
    </w:p>
    <w:p w:rsidR="005850F6" w:rsidRDefault="005850F6" w:rsidP="00717D3E">
      <w:pPr>
        <w:pStyle w:val="BodyText3"/>
        <w:spacing w:line="360" w:lineRule="auto"/>
        <w:ind w:right="67"/>
        <w:rPr>
          <w:rFonts w:ascii="Bookman Old Style" w:eastAsiaTheme="minorEastAsia" w:hAnsi="Bookman Old Style" w:cs="Arial"/>
          <w:b w:val="0"/>
          <w:bCs w:val="0"/>
          <w:color w:val="000000" w:themeColor="text1"/>
          <w:szCs w:val="22"/>
        </w:rPr>
      </w:pPr>
    </w:p>
    <w:p w:rsidR="00381ACE" w:rsidRDefault="00381ACE" w:rsidP="00717D3E">
      <w:pPr>
        <w:pStyle w:val="BodyText3"/>
        <w:spacing w:line="360" w:lineRule="auto"/>
        <w:ind w:right="67"/>
        <w:rPr>
          <w:rFonts w:ascii="Bookman Old Style" w:eastAsiaTheme="minorEastAsia" w:hAnsi="Bookman Old Style" w:cs="Arial"/>
          <w:b w:val="0"/>
          <w:bCs w:val="0"/>
          <w:color w:val="000000" w:themeColor="text1"/>
          <w:szCs w:val="22"/>
        </w:rPr>
      </w:pPr>
      <w:r w:rsidRPr="00657A5A">
        <w:rPr>
          <w:rFonts w:ascii="Bookman Old Style" w:eastAsiaTheme="minorEastAsia" w:hAnsi="Bookman Old Style" w:cs="Arial"/>
          <w:b w:val="0"/>
          <w:bCs w:val="0"/>
          <w:color w:val="000000" w:themeColor="text1"/>
          <w:szCs w:val="22"/>
        </w:rPr>
        <w:lastRenderedPageBreak/>
        <w:t xml:space="preserve">Revised other income is tabulated as under: </w:t>
      </w:r>
    </w:p>
    <w:p w:rsidR="00381ACE" w:rsidRPr="00056FD6" w:rsidRDefault="004D2832" w:rsidP="00717D3E">
      <w:pPr>
        <w:pStyle w:val="BodyText3"/>
        <w:spacing w:line="360" w:lineRule="auto"/>
        <w:ind w:right="67"/>
        <w:rPr>
          <w:rFonts w:ascii="Bookman Old Style" w:hAnsi="Bookman Old Style"/>
          <w:color w:val="000000" w:themeColor="text1"/>
          <w:sz w:val="18"/>
          <w:szCs w:val="18"/>
          <w:lang w:eastAsia="en-IN"/>
        </w:rPr>
      </w:pPr>
      <w:r w:rsidRPr="004D2832">
        <w:rPr>
          <w:rFonts w:ascii="Bookman Old Style" w:hAnsi="Bookman Old Style"/>
          <w:color w:val="000000" w:themeColor="text1"/>
          <w:sz w:val="18"/>
          <w:szCs w:val="18"/>
          <w:lang w:eastAsia="en-IN"/>
        </w:rPr>
        <w:t xml:space="preserve">                </w:t>
      </w:r>
      <w:r w:rsidRPr="004D2832">
        <w:rPr>
          <w:rFonts w:ascii="Bookman Old Style" w:hAnsi="Bookman Old Style"/>
          <w:color w:val="000000" w:themeColor="text1"/>
          <w:sz w:val="16"/>
        </w:rPr>
        <w:t xml:space="preserve">                                                     </w:t>
      </w:r>
      <w:r w:rsidRPr="00056FD6">
        <w:rPr>
          <w:rFonts w:ascii="Bookman Old Style" w:hAnsi="Bookman Old Style" w:cs="Calibri"/>
          <w:bCs w:val="0"/>
          <w:sz w:val="18"/>
          <w:szCs w:val="18"/>
          <w:lang w:eastAsia="en-IN"/>
        </w:rPr>
        <w:t>Table 3.4</w:t>
      </w:r>
      <w:r w:rsidR="001F0DC3">
        <w:rPr>
          <w:rFonts w:ascii="Bookman Old Style" w:hAnsi="Bookman Old Style" w:cs="Calibri"/>
          <w:bCs w:val="0"/>
          <w:sz w:val="18"/>
          <w:szCs w:val="18"/>
          <w:lang w:eastAsia="en-IN"/>
        </w:rPr>
        <w:t>8</w:t>
      </w:r>
      <w:r w:rsidRPr="00056FD6">
        <w:rPr>
          <w:rFonts w:ascii="Bookman Old Style" w:hAnsi="Bookman Old Style" w:cs="Calibri"/>
          <w:b w:val="0"/>
          <w:bCs w:val="0"/>
          <w:sz w:val="18"/>
          <w:szCs w:val="18"/>
          <w:lang w:eastAsia="en-IN"/>
        </w:rPr>
        <w:t xml:space="preserve">     </w:t>
      </w:r>
      <w:r w:rsidRPr="00056FD6">
        <w:rPr>
          <w:rFonts w:ascii="Bookman Old Style" w:eastAsiaTheme="minorEastAsia" w:hAnsi="Bookman Old Style" w:cs="Arial"/>
          <w:b w:val="0"/>
          <w:sz w:val="18"/>
          <w:szCs w:val="18"/>
        </w:rPr>
        <w:t xml:space="preserve">    </w:t>
      </w:r>
      <w:r w:rsidR="00381ACE" w:rsidRPr="00056FD6">
        <w:rPr>
          <w:rFonts w:ascii="Bookman Old Style" w:hAnsi="Bookman Old Style"/>
          <w:color w:val="000000" w:themeColor="text1"/>
          <w:sz w:val="18"/>
          <w:szCs w:val="18"/>
          <w:lang w:eastAsia="en-IN"/>
        </w:rPr>
        <w:t xml:space="preserve">                                   Amount in Crs</w:t>
      </w:r>
    </w:p>
    <w:tbl>
      <w:tblPr>
        <w:tblW w:w="8647" w:type="dxa"/>
        <w:jc w:val="center"/>
        <w:tblLook w:val="04A0" w:firstRow="1" w:lastRow="0" w:firstColumn="1" w:lastColumn="0" w:noHBand="0" w:noVBand="1"/>
      </w:tblPr>
      <w:tblGrid>
        <w:gridCol w:w="7371"/>
        <w:gridCol w:w="1276"/>
      </w:tblGrid>
      <w:tr w:rsidR="00381ACE" w:rsidRPr="00FA5739" w:rsidTr="00961E91">
        <w:trPr>
          <w:trHeight w:val="254"/>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rPr>
                <w:rFonts w:ascii="Bookman Old Style" w:hAnsi="Bookman Old Style"/>
                <w:b/>
                <w:lang w:val="en-IN" w:eastAsia="en-IN"/>
              </w:rPr>
            </w:pPr>
            <w:r w:rsidRPr="00FA5739">
              <w:rPr>
                <w:rFonts w:ascii="Bookman Old Style" w:hAnsi="Bookman Old Style"/>
                <w:b/>
                <w:lang w:val="en-IN" w:eastAsia="en-IN"/>
              </w:rPr>
              <w:t>Particulars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81ACE" w:rsidRPr="00FA5739" w:rsidRDefault="00381ACE" w:rsidP="00F66D2C">
            <w:pPr>
              <w:pStyle w:val="NoSpacing"/>
              <w:spacing w:line="360" w:lineRule="auto"/>
              <w:ind w:right="67"/>
              <w:jc w:val="right"/>
              <w:rPr>
                <w:rFonts w:ascii="Bookman Old Style" w:hAnsi="Bookman Old Style"/>
                <w:b/>
                <w:lang w:val="en-IN" w:eastAsia="en-IN"/>
              </w:rPr>
            </w:pPr>
            <w:r w:rsidRPr="00FA5739">
              <w:rPr>
                <w:rFonts w:ascii="Bookman Old Style" w:hAnsi="Bookman Old Style"/>
                <w:b/>
                <w:lang w:val="en-IN" w:eastAsia="en-IN"/>
              </w:rPr>
              <w:t>2019-20</w:t>
            </w:r>
          </w:p>
        </w:tc>
      </w:tr>
      <w:tr w:rsidR="00381ACE" w:rsidRPr="00FA5739" w:rsidTr="00961E91">
        <w:trPr>
          <w:trHeight w:val="215"/>
          <w:jc w:val="center"/>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rPr>
                <w:rFonts w:ascii="Bookman Old Style" w:hAnsi="Bookman Old Style"/>
                <w:lang w:val="en-IN" w:eastAsia="en-IN"/>
              </w:rPr>
            </w:pPr>
            <w:r w:rsidRPr="00FA5739">
              <w:rPr>
                <w:rFonts w:ascii="Bookman Old Style" w:hAnsi="Bookman Old Style"/>
                <w:lang w:val="en-IN" w:eastAsia="en-IN"/>
              </w:rPr>
              <w:t>Interest on Income</w:t>
            </w:r>
          </w:p>
        </w:tc>
        <w:tc>
          <w:tcPr>
            <w:tcW w:w="1276" w:type="dxa"/>
            <w:tcBorders>
              <w:top w:val="nil"/>
              <w:left w:val="nil"/>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jc w:val="right"/>
              <w:rPr>
                <w:rFonts w:ascii="Bookman Old Style" w:hAnsi="Bookman Old Style"/>
                <w:lang w:val="en-IN" w:eastAsia="en-IN"/>
              </w:rPr>
            </w:pPr>
            <w:r w:rsidRPr="00FA5739">
              <w:rPr>
                <w:rFonts w:ascii="Bookman Old Style" w:hAnsi="Bookman Old Style"/>
                <w:lang w:val="en-IN" w:eastAsia="en-IN"/>
              </w:rPr>
              <w:t>9.17</w:t>
            </w:r>
          </w:p>
        </w:tc>
      </w:tr>
      <w:tr w:rsidR="00381ACE" w:rsidRPr="00FA5739" w:rsidTr="00961E91">
        <w:trPr>
          <w:trHeight w:val="215"/>
          <w:jc w:val="center"/>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rPr>
                <w:rFonts w:ascii="Bookman Old Style" w:hAnsi="Bookman Old Style"/>
                <w:lang w:val="en-IN" w:eastAsia="en-IN"/>
              </w:rPr>
            </w:pPr>
            <w:r w:rsidRPr="00FA5739">
              <w:rPr>
                <w:rFonts w:ascii="Bookman Old Style" w:hAnsi="Bookman Old Style"/>
                <w:lang w:val="en-IN" w:eastAsia="en-IN"/>
              </w:rPr>
              <w:t>Profit on sale  of stores</w:t>
            </w:r>
          </w:p>
        </w:tc>
        <w:tc>
          <w:tcPr>
            <w:tcW w:w="1276" w:type="dxa"/>
            <w:tcBorders>
              <w:top w:val="nil"/>
              <w:left w:val="nil"/>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jc w:val="right"/>
              <w:rPr>
                <w:rFonts w:ascii="Bookman Old Style" w:hAnsi="Bookman Old Style"/>
                <w:lang w:val="en-IN" w:eastAsia="en-IN"/>
              </w:rPr>
            </w:pPr>
            <w:r w:rsidRPr="00FA5739">
              <w:rPr>
                <w:rFonts w:ascii="Bookman Old Style" w:hAnsi="Bookman Old Style"/>
                <w:lang w:val="en-IN" w:eastAsia="en-IN"/>
              </w:rPr>
              <w:t>0.26</w:t>
            </w:r>
          </w:p>
        </w:tc>
      </w:tr>
      <w:tr w:rsidR="00381ACE" w:rsidRPr="00FA5739" w:rsidTr="00961E91">
        <w:trPr>
          <w:trHeight w:val="215"/>
          <w:jc w:val="center"/>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rPr>
                <w:rFonts w:ascii="Bookman Old Style" w:hAnsi="Bookman Old Style"/>
                <w:lang w:val="en-IN" w:eastAsia="en-IN"/>
              </w:rPr>
            </w:pPr>
            <w:r w:rsidRPr="00FA5739">
              <w:rPr>
                <w:rFonts w:ascii="Bookman Old Style" w:hAnsi="Bookman Old Style"/>
                <w:lang w:val="en-IN" w:eastAsia="en-IN"/>
              </w:rPr>
              <w:t>Losses/gain relating to fixed Assets</w:t>
            </w:r>
          </w:p>
        </w:tc>
        <w:tc>
          <w:tcPr>
            <w:tcW w:w="1276" w:type="dxa"/>
            <w:tcBorders>
              <w:top w:val="nil"/>
              <w:left w:val="nil"/>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jc w:val="right"/>
              <w:rPr>
                <w:rFonts w:ascii="Bookman Old Style" w:hAnsi="Bookman Old Style"/>
                <w:lang w:val="en-IN" w:eastAsia="en-IN"/>
              </w:rPr>
            </w:pPr>
            <w:r w:rsidRPr="00FA5739">
              <w:rPr>
                <w:rFonts w:ascii="Bookman Old Style" w:hAnsi="Bookman Old Style"/>
                <w:lang w:val="en-IN" w:eastAsia="en-IN"/>
              </w:rPr>
              <w:t>-11.01</w:t>
            </w:r>
          </w:p>
        </w:tc>
      </w:tr>
      <w:tr w:rsidR="00381ACE" w:rsidRPr="00FA5739" w:rsidTr="00961E91">
        <w:trPr>
          <w:trHeight w:val="215"/>
          <w:jc w:val="center"/>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rPr>
                <w:rFonts w:ascii="Bookman Old Style" w:hAnsi="Bookman Old Style"/>
                <w:lang w:val="en-IN" w:eastAsia="en-IN"/>
              </w:rPr>
            </w:pPr>
            <w:r w:rsidRPr="00FA5739">
              <w:rPr>
                <w:rFonts w:ascii="Bookman Old Style" w:hAnsi="Bookman Old Style"/>
                <w:lang w:val="en-IN" w:eastAsia="en-IN"/>
              </w:rPr>
              <w:t>Rent</w:t>
            </w:r>
          </w:p>
        </w:tc>
        <w:tc>
          <w:tcPr>
            <w:tcW w:w="1276" w:type="dxa"/>
            <w:tcBorders>
              <w:top w:val="nil"/>
              <w:left w:val="nil"/>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jc w:val="right"/>
              <w:rPr>
                <w:rFonts w:ascii="Bookman Old Style" w:hAnsi="Bookman Old Style"/>
                <w:lang w:val="en-IN" w:eastAsia="en-IN"/>
              </w:rPr>
            </w:pPr>
            <w:r w:rsidRPr="00FA5739">
              <w:rPr>
                <w:rFonts w:ascii="Bookman Old Style" w:hAnsi="Bookman Old Style"/>
                <w:lang w:val="en-IN" w:eastAsia="en-IN"/>
              </w:rPr>
              <w:t>3.19</w:t>
            </w:r>
          </w:p>
        </w:tc>
      </w:tr>
      <w:tr w:rsidR="00381ACE" w:rsidRPr="00FA5739" w:rsidTr="00961E91">
        <w:trPr>
          <w:trHeight w:val="215"/>
          <w:jc w:val="center"/>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rPr>
                <w:rFonts w:ascii="Bookman Old Style" w:hAnsi="Bookman Old Style"/>
                <w:lang w:val="en-IN" w:eastAsia="en-IN"/>
              </w:rPr>
            </w:pPr>
            <w:r w:rsidRPr="00FA5739">
              <w:rPr>
                <w:rFonts w:ascii="Bookman Old Style" w:hAnsi="Bookman Old Style"/>
                <w:lang w:val="en-IN" w:eastAsia="en-IN"/>
              </w:rPr>
              <w:t>Incentive Received (50% of Rs 209.36)</w:t>
            </w:r>
          </w:p>
        </w:tc>
        <w:tc>
          <w:tcPr>
            <w:tcW w:w="1276" w:type="dxa"/>
            <w:tcBorders>
              <w:top w:val="nil"/>
              <w:left w:val="nil"/>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jc w:val="right"/>
              <w:rPr>
                <w:rFonts w:ascii="Bookman Old Style" w:hAnsi="Bookman Old Style"/>
                <w:lang w:val="en-IN" w:eastAsia="en-IN"/>
              </w:rPr>
            </w:pPr>
            <w:r w:rsidRPr="00FA5739">
              <w:rPr>
                <w:rFonts w:ascii="Bookman Old Style" w:hAnsi="Bookman Old Style"/>
                <w:lang w:val="en-IN" w:eastAsia="en-IN"/>
              </w:rPr>
              <w:t>61.18</w:t>
            </w:r>
          </w:p>
        </w:tc>
      </w:tr>
      <w:tr w:rsidR="00381ACE" w:rsidRPr="00FA5739" w:rsidTr="00961E91">
        <w:trPr>
          <w:trHeight w:val="215"/>
          <w:jc w:val="center"/>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rPr>
                <w:rFonts w:ascii="Bookman Old Style" w:hAnsi="Bookman Old Style"/>
                <w:lang w:val="en-IN" w:eastAsia="en-IN"/>
              </w:rPr>
            </w:pPr>
            <w:r w:rsidRPr="00FA5739">
              <w:rPr>
                <w:rFonts w:ascii="Bookman Old Style" w:hAnsi="Bookman Old Style"/>
                <w:lang w:val="en-IN" w:eastAsia="en-IN"/>
              </w:rPr>
              <w:t>Value of materials found excess during physical verification</w:t>
            </w:r>
          </w:p>
        </w:tc>
        <w:tc>
          <w:tcPr>
            <w:tcW w:w="1276" w:type="dxa"/>
            <w:tcBorders>
              <w:top w:val="nil"/>
              <w:left w:val="nil"/>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jc w:val="right"/>
              <w:rPr>
                <w:rFonts w:ascii="Bookman Old Style" w:hAnsi="Bookman Old Style"/>
                <w:lang w:val="en-IN" w:eastAsia="en-IN"/>
              </w:rPr>
            </w:pPr>
            <w:r w:rsidRPr="00FA5739">
              <w:rPr>
                <w:rFonts w:ascii="Bookman Old Style" w:hAnsi="Bookman Old Style"/>
                <w:lang w:val="en-IN" w:eastAsia="en-IN"/>
              </w:rPr>
              <w:t>0.14</w:t>
            </w:r>
          </w:p>
        </w:tc>
      </w:tr>
      <w:tr w:rsidR="00381ACE" w:rsidRPr="00FA5739" w:rsidTr="00961E91">
        <w:trPr>
          <w:trHeight w:val="215"/>
          <w:jc w:val="center"/>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rPr>
                <w:rFonts w:ascii="Bookman Old Style" w:hAnsi="Bookman Old Style"/>
                <w:lang w:val="en-IN" w:eastAsia="en-IN"/>
              </w:rPr>
            </w:pPr>
            <w:r w:rsidRPr="00FA5739">
              <w:rPr>
                <w:rFonts w:ascii="Bookman Old Style" w:hAnsi="Bookman Old Style"/>
                <w:lang w:val="en-IN" w:eastAsia="en-IN"/>
              </w:rPr>
              <w:t>Miscellaneous</w:t>
            </w:r>
          </w:p>
        </w:tc>
        <w:tc>
          <w:tcPr>
            <w:tcW w:w="1276" w:type="dxa"/>
            <w:tcBorders>
              <w:top w:val="nil"/>
              <w:left w:val="nil"/>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jc w:val="right"/>
              <w:rPr>
                <w:rFonts w:ascii="Bookman Old Style" w:hAnsi="Bookman Old Style"/>
                <w:lang w:val="en-IN" w:eastAsia="en-IN"/>
              </w:rPr>
            </w:pPr>
            <w:r w:rsidRPr="00FA5739">
              <w:rPr>
                <w:rFonts w:ascii="Bookman Old Style" w:hAnsi="Bookman Old Style"/>
                <w:lang w:val="en-IN" w:eastAsia="en-IN"/>
              </w:rPr>
              <w:t>148.66</w:t>
            </w:r>
          </w:p>
        </w:tc>
      </w:tr>
      <w:tr w:rsidR="00381ACE" w:rsidRPr="00FA5739" w:rsidTr="00961E91">
        <w:trPr>
          <w:trHeight w:val="215"/>
          <w:jc w:val="center"/>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rPr>
                <w:rFonts w:ascii="Bookman Old Style" w:hAnsi="Bookman Old Style"/>
                <w:lang w:val="en-IN" w:eastAsia="en-IN"/>
              </w:rPr>
            </w:pPr>
            <w:r w:rsidRPr="00FA5739">
              <w:rPr>
                <w:rFonts w:ascii="Bookman Old Style" w:hAnsi="Bookman Old Style"/>
                <w:lang w:val="en-IN" w:eastAsia="en-IN"/>
              </w:rPr>
              <w:t>Interest subsidy received under National Electricity Fund Scheme</w:t>
            </w:r>
          </w:p>
        </w:tc>
        <w:tc>
          <w:tcPr>
            <w:tcW w:w="1276" w:type="dxa"/>
            <w:tcBorders>
              <w:top w:val="nil"/>
              <w:left w:val="nil"/>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jc w:val="right"/>
              <w:rPr>
                <w:rFonts w:ascii="Bookman Old Style" w:hAnsi="Bookman Old Style"/>
                <w:lang w:val="en-IN" w:eastAsia="en-IN"/>
              </w:rPr>
            </w:pPr>
            <w:r w:rsidRPr="00FA5739">
              <w:rPr>
                <w:rFonts w:ascii="Bookman Old Style" w:hAnsi="Bookman Old Style"/>
                <w:lang w:val="en-IN" w:eastAsia="en-IN"/>
              </w:rPr>
              <w:t>0.00</w:t>
            </w:r>
          </w:p>
        </w:tc>
      </w:tr>
      <w:tr w:rsidR="00381ACE" w:rsidRPr="00FA5739" w:rsidTr="00961E91">
        <w:trPr>
          <w:trHeight w:val="215"/>
          <w:jc w:val="center"/>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rPr>
                <w:rFonts w:ascii="Bookman Old Style" w:hAnsi="Bookman Old Style"/>
                <w:lang w:val="en-IN" w:eastAsia="en-IN"/>
              </w:rPr>
            </w:pPr>
            <w:r w:rsidRPr="00FA5739">
              <w:rPr>
                <w:rFonts w:ascii="Bookman Old Style" w:hAnsi="Bookman Old Style"/>
                <w:lang w:val="en-IN" w:eastAsia="en-IN"/>
              </w:rPr>
              <w:t>Rebate</w:t>
            </w:r>
            <w:r w:rsidR="00961E91">
              <w:rPr>
                <w:rFonts w:ascii="Bookman Old Style" w:hAnsi="Bookman Old Style"/>
                <w:lang w:val="en-IN" w:eastAsia="en-IN"/>
              </w:rPr>
              <w:t xml:space="preserve"> </w:t>
            </w:r>
            <w:r w:rsidRPr="00FA5739">
              <w:rPr>
                <w:rFonts w:ascii="Bookman Old Style" w:hAnsi="Bookman Old Style"/>
                <w:lang w:val="en-IN" w:eastAsia="en-IN"/>
              </w:rPr>
              <w:t>at 0.5% for Collection of Electricity Duty</w:t>
            </w:r>
          </w:p>
        </w:tc>
        <w:tc>
          <w:tcPr>
            <w:tcW w:w="1276" w:type="dxa"/>
            <w:tcBorders>
              <w:top w:val="nil"/>
              <w:left w:val="nil"/>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jc w:val="right"/>
              <w:rPr>
                <w:rFonts w:ascii="Bookman Old Style" w:hAnsi="Bookman Old Style"/>
                <w:lang w:val="en-IN" w:eastAsia="en-IN"/>
              </w:rPr>
            </w:pPr>
            <w:r w:rsidRPr="00FA5739">
              <w:rPr>
                <w:rFonts w:ascii="Bookman Old Style" w:hAnsi="Bookman Old Style"/>
                <w:lang w:val="en-IN" w:eastAsia="en-IN"/>
              </w:rPr>
              <w:t>7.05</w:t>
            </w:r>
          </w:p>
        </w:tc>
      </w:tr>
      <w:tr w:rsidR="00381ACE" w:rsidRPr="00FA5739" w:rsidTr="00961E91">
        <w:trPr>
          <w:trHeight w:val="205"/>
          <w:jc w:val="center"/>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rPr>
                <w:rFonts w:ascii="Bookman Old Style" w:hAnsi="Bookman Old Style"/>
                <w:lang w:val="en-IN" w:eastAsia="en-IN"/>
              </w:rPr>
            </w:pPr>
            <w:r w:rsidRPr="00FA5739">
              <w:rPr>
                <w:rFonts w:ascii="Bookman Old Style" w:hAnsi="Bookman Old Style"/>
                <w:lang w:val="en-IN" w:eastAsia="en-IN"/>
              </w:rPr>
              <w:t>Revenue from sale of power through Indian Energy Exchange (IEX)</w:t>
            </w:r>
          </w:p>
        </w:tc>
        <w:tc>
          <w:tcPr>
            <w:tcW w:w="1276" w:type="dxa"/>
            <w:tcBorders>
              <w:top w:val="nil"/>
              <w:left w:val="nil"/>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jc w:val="right"/>
              <w:rPr>
                <w:rFonts w:ascii="Bookman Old Style" w:hAnsi="Bookman Old Style"/>
                <w:lang w:val="en-IN" w:eastAsia="en-IN"/>
              </w:rPr>
            </w:pPr>
            <w:r w:rsidRPr="00FA5739">
              <w:rPr>
                <w:rFonts w:ascii="Bookman Old Style" w:hAnsi="Bookman Old Style"/>
                <w:lang w:val="en-IN" w:eastAsia="en-IN"/>
              </w:rPr>
              <w:t>200.41</w:t>
            </w:r>
          </w:p>
        </w:tc>
      </w:tr>
      <w:tr w:rsidR="00381ACE" w:rsidRPr="00FA5739" w:rsidTr="00961E91">
        <w:trPr>
          <w:trHeight w:val="205"/>
          <w:jc w:val="center"/>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rPr>
                <w:rFonts w:ascii="Bookman Old Style" w:hAnsi="Bookman Old Style"/>
                <w:b/>
                <w:lang w:val="en-IN" w:eastAsia="en-IN"/>
              </w:rPr>
            </w:pPr>
            <w:r w:rsidRPr="00FA5739">
              <w:rPr>
                <w:rFonts w:ascii="Bookman Old Style" w:hAnsi="Bookman Old Style"/>
                <w:b/>
                <w:lang w:val="en-IN" w:eastAsia="en-IN"/>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381ACE" w:rsidRPr="00FA5739" w:rsidRDefault="00381ACE" w:rsidP="00F66D2C">
            <w:pPr>
              <w:pStyle w:val="NoSpacing"/>
              <w:spacing w:line="360" w:lineRule="auto"/>
              <w:ind w:right="67"/>
              <w:jc w:val="right"/>
              <w:rPr>
                <w:rFonts w:ascii="Bookman Old Style" w:hAnsi="Bookman Old Style"/>
                <w:b/>
                <w:lang w:val="en-IN" w:eastAsia="en-IN"/>
              </w:rPr>
            </w:pPr>
            <w:r w:rsidRPr="00FA5739">
              <w:rPr>
                <w:rFonts w:ascii="Bookman Old Style" w:hAnsi="Bookman Old Style"/>
                <w:b/>
                <w:lang w:val="en-IN" w:eastAsia="en-IN"/>
              </w:rPr>
              <w:t>419.05</w:t>
            </w:r>
          </w:p>
        </w:tc>
      </w:tr>
    </w:tbl>
    <w:p w:rsidR="00381ACE" w:rsidRDefault="00381ACE" w:rsidP="00717D3E">
      <w:pPr>
        <w:pStyle w:val="BodyText3"/>
        <w:spacing w:line="360" w:lineRule="auto"/>
        <w:ind w:right="67"/>
        <w:rPr>
          <w:rFonts w:ascii="Bookman Old Style" w:hAnsi="Bookman Old Style"/>
          <w:color w:val="000000" w:themeColor="text1"/>
          <w:sz w:val="18"/>
          <w:szCs w:val="18"/>
          <w:lang w:eastAsia="en-IN"/>
        </w:rPr>
      </w:pPr>
    </w:p>
    <w:p w:rsidR="00381ACE" w:rsidRPr="00657A5A" w:rsidRDefault="00381ACE" w:rsidP="00717D3E">
      <w:pPr>
        <w:pStyle w:val="BodyText3"/>
        <w:spacing w:line="360" w:lineRule="auto"/>
        <w:ind w:right="67"/>
        <w:rPr>
          <w:rFonts w:ascii="Bookman Old Style" w:eastAsiaTheme="minorEastAsia" w:hAnsi="Bookman Old Style" w:cs="Arial"/>
          <w:b w:val="0"/>
          <w:bCs w:val="0"/>
          <w:color w:val="000000" w:themeColor="text1"/>
          <w:szCs w:val="22"/>
        </w:rPr>
      </w:pPr>
      <w:r w:rsidRPr="00657A5A">
        <w:rPr>
          <w:rFonts w:ascii="Bookman Old Style" w:eastAsiaTheme="minorEastAsia" w:hAnsi="Bookman Old Style" w:cs="Arial"/>
          <w:b w:val="0"/>
          <w:bCs w:val="0"/>
          <w:color w:val="000000" w:themeColor="text1"/>
          <w:szCs w:val="22"/>
        </w:rPr>
        <w:t>Commission is requested to consider Rs.</w:t>
      </w:r>
      <w:r>
        <w:rPr>
          <w:rFonts w:ascii="Bookman Old Style" w:eastAsiaTheme="minorEastAsia" w:hAnsi="Bookman Old Style" w:cs="Arial"/>
          <w:b w:val="0"/>
          <w:bCs w:val="0"/>
          <w:color w:val="000000" w:themeColor="text1"/>
          <w:szCs w:val="22"/>
        </w:rPr>
        <w:t>419.05</w:t>
      </w:r>
      <w:r w:rsidR="0005731D">
        <w:rPr>
          <w:rFonts w:ascii="Bookman Old Style" w:eastAsiaTheme="minorEastAsia" w:hAnsi="Bookman Old Style" w:cs="Arial"/>
          <w:b w:val="0"/>
          <w:bCs w:val="0"/>
          <w:color w:val="000000" w:themeColor="text1"/>
          <w:szCs w:val="22"/>
        </w:rPr>
        <w:t xml:space="preserve"> </w:t>
      </w:r>
      <w:r>
        <w:rPr>
          <w:rFonts w:ascii="Bookman Old Style" w:eastAsiaTheme="minorEastAsia" w:hAnsi="Bookman Old Style" w:cs="Arial"/>
          <w:b w:val="0"/>
          <w:bCs w:val="0"/>
          <w:color w:val="000000" w:themeColor="text1"/>
          <w:szCs w:val="22"/>
        </w:rPr>
        <w:t>Crs</w:t>
      </w:r>
      <w:r w:rsidRPr="00657A5A">
        <w:rPr>
          <w:rFonts w:ascii="Bookman Old Style" w:eastAsiaTheme="minorEastAsia" w:hAnsi="Bookman Old Style" w:cs="Arial"/>
          <w:b w:val="0"/>
          <w:bCs w:val="0"/>
          <w:color w:val="000000" w:themeColor="text1"/>
          <w:szCs w:val="22"/>
        </w:rPr>
        <w:t>. as other Income for FY-</w:t>
      </w:r>
      <w:r>
        <w:rPr>
          <w:rFonts w:ascii="Bookman Old Style" w:eastAsiaTheme="minorEastAsia" w:hAnsi="Bookman Old Style" w:cs="Arial"/>
          <w:b w:val="0"/>
          <w:bCs w:val="0"/>
          <w:color w:val="000000" w:themeColor="text1"/>
          <w:szCs w:val="22"/>
        </w:rPr>
        <w:t>20</w:t>
      </w:r>
      <w:r w:rsidRPr="00657A5A">
        <w:rPr>
          <w:rFonts w:ascii="Bookman Old Style" w:eastAsiaTheme="minorEastAsia" w:hAnsi="Bookman Old Style" w:cs="Arial"/>
          <w:b w:val="0"/>
          <w:bCs w:val="0"/>
          <w:color w:val="000000" w:themeColor="text1"/>
          <w:szCs w:val="22"/>
        </w:rPr>
        <w:t>.</w:t>
      </w:r>
    </w:p>
    <w:p w:rsidR="00381ACE" w:rsidRPr="003863B7" w:rsidRDefault="00381ACE" w:rsidP="00717D3E">
      <w:pPr>
        <w:pStyle w:val="BodyText3"/>
        <w:spacing w:line="360" w:lineRule="auto"/>
        <w:ind w:right="67"/>
        <w:rPr>
          <w:rFonts w:ascii="Cambria" w:eastAsiaTheme="minorEastAsia" w:hAnsi="Cambria" w:cs="Arial"/>
          <w:b w:val="0"/>
          <w:bCs w:val="0"/>
          <w:color w:val="F2F2F2" w:themeColor="background1" w:themeShade="F2"/>
          <w:szCs w:val="22"/>
        </w:rPr>
      </w:pPr>
    </w:p>
    <w:p w:rsidR="00381ACE" w:rsidRPr="00657A5A" w:rsidRDefault="00381ACE" w:rsidP="00717D3E">
      <w:pPr>
        <w:spacing w:line="360" w:lineRule="auto"/>
        <w:ind w:right="67"/>
        <w:rPr>
          <w:rFonts w:ascii="Bookman Old Style" w:eastAsiaTheme="minorEastAsia" w:hAnsi="Bookman Old Style" w:cs="Arial"/>
          <w:b/>
          <w:color w:val="000000" w:themeColor="text1"/>
          <w:sz w:val="28"/>
        </w:rPr>
      </w:pPr>
      <w:r w:rsidRPr="00657A5A">
        <w:rPr>
          <w:rFonts w:ascii="Bookman Old Style" w:eastAsiaTheme="minorEastAsia" w:hAnsi="Bookman Old Style" w:cs="Arial"/>
          <w:b/>
          <w:color w:val="000000" w:themeColor="text1"/>
          <w:sz w:val="28"/>
        </w:rPr>
        <w:t xml:space="preserve">ABSTRACT of Truing up of </w:t>
      </w:r>
      <w:r>
        <w:rPr>
          <w:rFonts w:ascii="Bookman Old Style" w:eastAsiaTheme="minorEastAsia" w:hAnsi="Bookman Old Style" w:cs="Arial"/>
          <w:b/>
          <w:color w:val="000000" w:themeColor="text1"/>
          <w:sz w:val="28"/>
        </w:rPr>
        <w:t>FY-20</w:t>
      </w:r>
      <w:r w:rsidRPr="00657A5A">
        <w:rPr>
          <w:rFonts w:ascii="Bookman Old Style" w:eastAsiaTheme="minorEastAsia" w:hAnsi="Bookman Old Style" w:cs="Arial"/>
          <w:b/>
          <w:color w:val="000000" w:themeColor="text1"/>
          <w:sz w:val="28"/>
        </w:rPr>
        <w:t>:</w:t>
      </w:r>
    </w:p>
    <w:p w:rsidR="00381ACE" w:rsidRPr="00BB7048" w:rsidRDefault="00381ACE" w:rsidP="00BB7048">
      <w:pPr>
        <w:autoSpaceDE w:val="0"/>
        <w:autoSpaceDN w:val="0"/>
        <w:adjustRightInd w:val="0"/>
        <w:spacing w:after="0" w:line="360" w:lineRule="auto"/>
        <w:ind w:right="67"/>
        <w:jc w:val="both"/>
        <w:rPr>
          <w:rFonts w:ascii="Bookman Old Style" w:hAnsi="Bookman Old Style" w:cs="Calibri"/>
          <w:color w:val="000000" w:themeColor="text1"/>
          <w:szCs w:val="23"/>
        </w:rPr>
      </w:pPr>
      <w:r w:rsidRPr="00BB7048">
        <w:rPr>
          <w:rFonts w:ascii="Bookman Old Style" w:hAnsi="Bookman Old Style" w:cs="Calibri"/>
          <w:color w:val="000000" w:themeColor="text1"/>
          <w:szCs w:val="23"/>
        </w:rPr>
        <w:t xml:space="preserve">Based on the above analysis, the summary of ARR (after sharing of efficiency gains &amp; losses) for the Wires Business and Supply Business, as per Audited Account and as approved by the Hon’ble Commission, for 2019-20 is presented in the table below. </w:t>
      </w:r>
    </w:p>
    <w:p w:rsidR="00381ACE" w:rsidRPr="00056FD6" w:rsidRDefault="0067773D" w:rsidP="0067773D">
      <w:pPr>
        <w:autoSpaceDE w:val="0"/>
        <w:autoSpaceDN w:val="0"/>
        <w:adjustRightInd w:val="0"/>
        <w:spacing w:after="0" w:line="360" w:lineRule="auto"/>
        <w:ind w:left="360" w:right="67"/>
        <w:jc w:val="center"/>
        <w:rPr>
          <w:rFonts w:ascii="Bookman Old Style" w:hAnsi="Bookman Old Style" w:cs="Calibri"/>
          <w:b/>
          <w:color w:val="000000" w:themeColor="text1"/>
          <w:sz w:val="18"/>
          <w:szCs w:val="23"/>
        </w:rPr>
      </w:pPr>
      <w:r w:rsidRPr="00056FD6">
        <w:rPr>
          <w:rFonts w:ascii="Bookman Old Style" w:hAnsi="Bookman Old Style" w:cs="Calibri"/>
          <w:b/>
          <w:bCs/>
          <w:sz w:val="18"/>
          <w:lang w:eastAsia="en-IN"/>
        </w:rPr>
        <w:t>Table 3.</w:t>
      </w:r>
      <w:r w:rsidR="00056FD6" w:rsidRPr="00056FD6">
        <w:rPr>
          <w:rFonts w:ascii="Bookman Old Style" w:hAnsi="Bookman Old Style" w:cs="Calibri"/>
          <w:b/>
          <w:bCs/>
          <w:sz w:val="18"/>
          <w:szCs w:val="20"/>
          <w:lang w:eastAsia="en-IN"/>
        </w:rPr>
        <w:t>4</w:t>
      </w:r>
      <w:r w:rsidR="001F0DC3">
        <w:rPr>
          <w:rFonts w:ascii="Bookman Old Style" w:hAnsi="Bookman Old Style" w:cs="Calibri"/>
          <w:b/>
          <w:bCs/>
          <w:sz w:val="18"/>
          <w:szCs w:val="20"/>
          <w:lang w:eastAsia="en-IN"/>
        </w:rPr>
        <w:t>9</w:t>
      </w:r>
    </w:p>
    <w:tbl>
      <w:tblPr>
        <w:tblW w:w="8974" w:type="dxa"/>
        <w:jc w:val="center"/>
        <w:tblLook w:val="04A0" w:firstRow="1" w:lastRow="0" w:firstColumn="1" w:lastColumn="0" w:noHBand="0" w:noVBand="1"/>
      </w:tblPr>
      <w:tblGrid>
        <w:gridCol w:w="828"/>
        <w:gridCol w:w="4048"/>
        <w:gridCol w:w="1534"/>
        <w:gridCol w:w="1308"/>
        <w:gridCol w:w="1312"/>
      </w:tblGrid>
      <w:tr w:rsidR="008E175D" w:rsidRPr="00F66D2C" w:rsidTr="00122F71">
        <w:trPr>
          <w:trHeight w:val="272"/>
          <w:jc w:val="center"/>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4048" w:type="dxa"/>
            <w:tcBorders>
              <w:top w:val="single" w:sz="4" w:space="0" w:color="auto"/>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Particulars</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Approved</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Actual</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Trued up</w:t>
            </w:r>
          </w:p>
        </w:tc>
      </w:tr>
      <w:tr w:rsidR="008E175D" w:rsidRPr="00F66D2C" w:rsidTr="00122F71">
        <w:trPr>
          <w:trHeight w:val="420"/>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Revenue at existing tariff in Rs. Crs.</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r>
      <w:tr w:rsidR="008E175D" w:rsidRPr="00F66D2C" w:rsidTr="00122F71">
        <w:trPr>
          <w:trHeight w:val="400"/>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1</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Revenue from tariff and Misc. Charges</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17777.04</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18367.22</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18367.22</w:t>
            </w:r>
          </w:p>
        </w:tc>
      </w:tr>
      <w:tr w:rsidR="008E175D" w:rsidRPr="00F66D2C" w:rsidTr="00122F71">
        <w:trPr>
          <w:trHeight w:val="336"/>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2</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Tariff Subsidy from BJ/KJ</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93.77</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129.193</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129.193</w:t>
            </w:r>
          </w:p>
        </w:tc>
      </w:tr>
      <w:tr w:rsidR="008E175D" w:rsidRPr="00F66D2C" w:rsidTr="00122F71">
        <w:trPr>
          <w:trHeight w:val="259"/>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3</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Tariff Subsidy from IP</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2451.28</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2674.278</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2674.278</w:t>
            </w:r>
          </w:p>
        </w:tc>
      </w:tr>
      <w:tr w:rsidR="008E175D" w:rsidRPr="00F66D2C" w:rsidTr="00122F71">
        <w:trPr>
          <w:trHeight w:val="436"/>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Total Revenue</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20322.09</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21170.69</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21170.69</w:t>
            </w:r>
          </w:p>
        </w:tc>
      </w:tr>
      <w:tr w:rsidR="008E175D" w:rsidRPr="00F66D2C" w:rsidTr="00122F71">
        <w:trPr>
          <w:trHeight w:val="330"/>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Expenditure in Rs. Crs.</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r>
      <w:tr w:rsidR="008E175D" w:rsidRPr="00F66D2C" w:rsidTr="00122F71">
        <w:trPr>
          <w:trHeight w:val="395"/>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4</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Power Purchase Cost</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15717.97</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15956.91</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15757.68</w:t>
            </w:r>
          </w:p>
        </w:tc>
      </w:tr>
      <w:tr w:rsidR="008E175D" w:rsidRPr="00F66D2C" w:rsidTr="00122F71">
        <w:trPr>
          <w:trHeight w:val="506"/>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5</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Transmission charges of KPTCL</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1741.81</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1741.81</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1741.81</w:t>
            </w:r>
          </w:p>
        </w:tc>
      </w:tr>
      <w:tr w:rsidR="008E175D" w:rsidRPr="00F66D2C" w:rsidTr="00122F71">
        <w:trPr>
          <w:trHeight w:val="352"/>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lastRenderedPageBreak/>
              <w:t>6</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Transmission charges of PGCIL</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829.46</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1630.14</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1630.14</w:t>
            </w:r>
          </w:p>
        </w:tc>
      </w:tr>
      <w:tr w:rsidR="008E175D" w:rsidRPr="00F66D2C" w:rsidTr="00122F71">
        <w:trPr>
          <w:trHeight w:val="402"/>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7</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SLDC/POSOCO Charges</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11.18</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16.49</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16.49</w:t>
            </w:r>
          </w:p>
        </w:tc>
      </w:tr>
      <w:tr w:rsidR="008E175D" w:rsidRPr="00F66D2C" w:rsidTr="00122F71">
        <w:trPr>
          <w:trHeight w:val="565"/>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Power Purchase Cost including cost of transmission</w:t>
            </w:r>
          </w:p>
        </w:tc>
        <w:tc>
          <w:tcPr>
            <w:tcW w:w="1534" w:type="dxa"/>
            <w:tcBorders>
              <w:top w:val="nil"/>
              <w:left w:val="nil"/>
              <w:bottom w:val="single" w:sz="4" w:space="0" w:color="auto"/>
              <w:right w:val="single" w:sz="4" w:space="0" w:color="auto"/>
            </w:tcBorders>
            <w:shd w:val="clear" w:color="000000" w:fill="FFFFFF"/>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18300.42</w:t>
            </w:r>
          </w:p>
        </w:tc>
        <w:tc>
          <w:tcPr>
            <w:tcW w:w="1252" w:type="dxa"/>
            <w:tcBorders>
              <w:top w:val="nil"/>
              <w:left w:val="nil"/>
              <w:bottom w:val="single" w:sz="4" w:space="0" w:color="auto"/>
              <w:right w:val="single" w:sz="4" w:space="0" w:color="auto"/>
            </w:tcBorders>
            <w:shd w:val="clear" w:color="000000" w:fill="FFFFFF"/>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19345.35</w:t>
            </w:r>
          </w:p>
        </w:tc>
        <w:tc>
          <w:tcPr>
            <w:tcW w:w="1312" w:type="dxa"/>
            <w:tcBorders>
              <w:top w:val="nil"/>
              <w:left w:val="nil"/>
              <w:bottom w:val="single" w:sz="4" w:space="0" w:color="auto"/>
              <w:right w:val="single" w:sz="4" w:space="0" w:color="auto"/>
            </w:tcBorders>
            <w:shd w:val="clear" w:color="000000" w:fill="FFFFFF"/>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19144.94</w:t>
            </w:r>
          </w:p>
        </w:tc>
      </w:tr>
      <w:tr w:rsidR="008E175D" w:rsidRPr="00F66D2C" w:rsidTr="00122F71">
        <w:trPr>
          <w:trHeight w:val="444"/>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8</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Employee Cost</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1513.41</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1591.14</w:t>
            </w:r>
          </w:p>
        </w:tc>
      </w:tr>
      <w:tr w:rsidR="008E175D" w:rsidRPr="00F66D2C" w:rsidTr="00122F71">
        <w:trPr>
          <w:trHeight w:val="408"/>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9</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Repairs and Maintenance</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113.83</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114.83</w:t>
            </w:r>
          </w:p>
        </w:tc>
      </w:tr>
      <w:tr w:rsidR="008E175D" w:rsidRPr="00F66D2C" w:rsidTr="00122F71">
        <w:trPr>
          <w:trHeight w:val="494"/>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10</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Admin &amp; General Expenses</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459.91</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390.00</w:t>
            </w:r>
          </w:p>
        </w:tc>
      </w:tr>
      <w:tr w:rsidR="008E175D" w:rsidRPr="00F66D2C" w:rsidTr="00122F71">
        <w:trPr>
          <w:trHeight w:val="259"/>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Total O&amp;M Cost</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1890.61</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2087.15</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2095.97</w:t>
            </w:r>
          </w:p>
        </w:tc>
      </w:tr>
      <w:tr w:rsidR="008E175D" w:rsidRPr="00F66D2C" w:rsidTr="00122F71">
        <w:trPr>
          <w:trHeight w:val="259"/>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11</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Depreciation</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535.52</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753.53</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753.53</w:t>
            </w:r>
          </w:p>
        </w:tc>
      </w:tr>
      <w:tr w:rsidR="008E175D" w:rsidRPr="00F66D2C" w:rsidTr="00122F71">
        <w:trPr>
          <w:trHeight w:val="420"/>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Interest &amp; Finance Charges</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r>
      <w:tr w:rsidR="008E175D" w:rsidRPr="00F66D2C" w:rsidTr="00122F71">
        <w:trPr>
          <w:trHeight w:val="259"/>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12</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Interest on Loans</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430.91</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489.28</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489.28</w:t>
            </w:r>
          </w:p>
        </w:tc>
      </w:tr>
      <w:tr w:rsidR="008E175D" w:rsidRPr="00F66D2C" w:rsidTr="00122F71">
        <w:trPr>
          <w:trHeight w:val="368"/>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13</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Interest on Working capital</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404.53</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380.25</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419.25</w:t>
            </w:r>
          </w:p>
        </w:tc>
      </w:tr>
      <w:tr w:rsidR="008E175D" w:rsidRPr="00F66D2C" w:rsidTr="00122F71">
        <w:trPr>
          <w:trHeight w:val="289"/>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14</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Interest on consumer deposits</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276.63</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238.87</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238.87</w:t>
            </w:r>
          </w:p>
        </w:tc>
      </w:tr>
      <w:tr w:rsidR="008E175D" w:rsidRPr="00F66D2C" w:rsidTr="00122F71">
        <w:trPr>
          <w:trHeight w:val="406"/>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15</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Other Interest &amp; Finance charges</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4</w:t>
            </w:r>
            <w:r w:rsidR="004437B7" w:rsidRPr="00F66D2C">
              <w:rPr>
                <w:rFonts w:ascii="Bookman Old Style" w:eastAsia="Times New Roman" w:hAnsi="Bookman Old Style" w:cs="Calibri"/>
                <w:lang w:eastAsia="en-IN"/>
              </w:rPr>
              <w:t>.0</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0.59</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22.29</w:t>
            </w:r>
          </w:p>
        </w:tc>
      </w:tr>
      <w:tr w:rsidR="008E175D" w:rsidRPr="00F66D2C" w:rsidTr="00122F71">
        <w:trPr>
          <w:trHeight w:val="420"/>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16</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Less interest &amp; other expenses capitalized</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99.75</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206.48</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212.39</w:t>
            </w:r>
          </w:p>
        </w:tc>
      </w:tr>
      <w:tr w:rsidR="008E175D" w:rsidRPr="00F66D2C" w:rsidTr="00122F71">
        <w:trPr>
          <w:trHeight w:val="420"/>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Total Inte</w:t>
            </w:r>
            <w:r w:rsidR="00203821" w:rsidRPr="00F66D2C">
              <w:rPr>
                <w:rFonts w:ascii="Bookman Old Style" w:eastAsia="Times New Roman" w:hAnsi="Bookman Old Style" w:cs="Calibri"/>
                <w:b/>
                <w:bCs/>
                <w:lang w:eastAsia="en-IN"/>
              </w:rPr>
              <w:t>r</w:t>
            </w:r>
            <w:r w:rsidRPr="00F66D2C">
              <w:rPr>
                <w:rFonts w:ascii="Bookman Old Style" w:eastAsia="Times New Roman" w:hAnsi="Bookman Old Style" w:cs="Calibri"/>
                <w:b/>
                <w:bCs/>
                <w:lang w:eastAsia="en-IN"/>
              </w:rPr>
              <w:t>est and Finance charges</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1016.32</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902.51</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957.30</w:t>
            </w:r>
          </w:p>
        </w:tc>
      </w:tr>
      <w:tr w:rsidR="008E175D" w:rsidRPr="00F66D2C" w:rsidTr="00122F71">
        <w:trPr>
          <w:trHeight w:val="259"/>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17</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Other debits</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12.21</w:t>
            </w:r>
          </w:p>
        </w:tc>
      </w:tr>
      <w:tr w:rsidR="008E175D" w:rsidRPr="00F66D2C" w:rsidTr="00122F71">
        <w:trPr>
          <w:trHeight w:val="494"/>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18</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Net Prior period debit/credits</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r>
      <w:tr w:rsidR="008E175D" w:rsidRPr="00F66D2C" w:rsidTr="00122F71">
        <w:trPr>
          <w:trHeight w:val="259"/>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19</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Return on Equity</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193.59</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146.51</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179.3</w:t>
            </w:r>
          </w:p>
        </w:tc>
      </w:tr>
      <w:tr w:rsidR="008E175D" w:rsidRPr="00F66D2C" w:rsidTr="00122F71">
        <w:trPr>
          <w:trHeight w:val="604"/>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20</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Funds towards Consumer Relations/Consumer</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1</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r>
      <w:tr w:rsidR="008E175D" w:rsidRPr="00F66D2C" w:rsidTr="00122F71">
        <w:trPr>
          <w:trHeight w:val="416"/>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21</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Income tax/</w:t>
            </w:r>
            <w:r w:rsidR="00203821" w:rsidRPr="00F66D2C">
              <w:rPr>
                <w:rFonts w:ascii="Bookman Old Style" w:eastAsia="Times New Roman" w:hAnsi="Bookman Old Style" w:cs="Calibri"/>
                <w:lang w:eastAsia="en-IN"/>
              </w:rPr>
              <w:t>Deferred</w:t>
            </w:r>
            <w:r w:rsidRPr="00F66D2C">
              <w:rPr>
                <w:rFonts w:ascii="Bookman Old Style" w:eastAsia="Times New Roman" w:hAnsi="Bookman Old Style" w:cs="Calibri"/>
                <w:lang w:eastAsia="en-IN"/>
              </w:rPr>
              <w:t xml:space="preserve"> tax liability</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5.83</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5.83</w:t>
            </w:r>
          </w:p>
        </w:tc>
      </w:tr>
      <w:tr w:rsidR="008E175D" w:rsidRPr="00F66D2C" w:rsidTr="00122F71">
        <w:trPr>
          <w:trHeight w:val="259"/>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r w:rsidRPr="00F66D2C">
              <w:rPr>
                <w:rFonts w:ascii="Bookman Old Style" w:eastAsia="Times New Roman" w:hAnsi="Bookman Old Style" w:cs="Calibri"/>
                <w:lang w:eastAsia="en-IN"/>
              </w:rPr>
              <w:t>22</w:t>
            </w: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Other Income</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270.58</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480.23</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419.05</w:t>
            </w:r>
          </w:p>
        </w:tc>
      </w:tr>
      <w:tr w:rsidR="008E175D" w:rsidRPr="00F66D2C" w:rsidTr="00122F71">
        <w:trPr>
          <w:trHeight w:val="259"/>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4048"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Surplus for FY18 carried forward</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392.46</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r>
      <w:tr w:rsidR="008E175D" w:rsidRPr="00F66D2C" w:rsidTr="00122F71">
        <w:trPr>
          <w:trHeight w:val="259"/>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4048"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Incentive for decreasing distribution loss</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p>
        </w:tc>
      </w:tr>
      <w:tr w:rsidR="008E175D" w:rsidRPr="00F66D2C" w:rsidTr="00122F71">
        <w:trPr>
          <w:trHeight w:val="259"/>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ARR</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21274.42</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22760.65</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22730.07</w:t>
            </w:r>
          </w:p>
        </w:tc>
      </w:tr>
      <w:tr w:rsidR="008E175D" w:rsidRPr="00F66D2C" w:rsidTr="00122F71">
        <w:trPr>
          <w:trHeight w:val="259"/>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GAP</w:t>
            </w:r>
          </w:p>
        </w:tc>
        <w:tc>
          <w:tcPr>
            <w:tcW w:w="1534" w:type="dxa"/>
            <w:tcBorders>
              <w:top w:val="nil"/>
              <w:left w:val="nil"/>
              <w:bottom w:val="single" w:sz="4" w:space="0" w:color="auto"/>
              <w:right w:val="single" w:sz="4" w:space="0" w:color="auto"/>
            </w:tcBorders>
            <w:shd w:val="clear" w:color="000000" w:fill="FFFFFF"/>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-952.33</w:t>
            </w:r>
          </w:p>
        </w:tc>
        <w:tc>
          <w:tcPr>
            <w:tcW w:w="1252" w:type="dxa"/>
            <w:tcBorders>
              <w:top w:val="nil"/>
              <w:left w:val="nil"/>
              <w:bottom w:val="single" w:sz="4" w:space="0" w:color="auto"/>
              <w:right w:val="single" w:sz="4" w:space="0" w:color="auto"/>
            </w:tcBorders>
            <w:shd w:val="clear" w:color="000000" w:fill="FFFFFF"/>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-1589.96</w:t>
            </w:r>
          </w:p>
        </w:tc>
        <w:tc>
          <w:tcPr>
            <w:tcW w:w="1312" w:type="dxa"/>
            <w:tcBorders>
              <w:top w:val="nil"/>
              <w:left w:val="nil"/>
              <w:bottom w:val="single" w:sz="4" w:space="0" w:color="auto"/>
              <w:right w:val="single" w:sz="4" w:space="0" w:color="auto"/>
            </w:tcBorders>
            <w:shd w:val="clear" w:color="000000" w:fill="FFFFFF"/>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1559.37</w:t>
            </w:r>
          </w:p>
        </w:tc>
      </w:tr>
      <w:tr w:rsidR="008E175D" w:rsidRPr="00F66D2C" w:rsidTr="00122F71">
        <w:trPr>
          <w:trHeight w:val="259"/>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4048"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p>
        </w:tc>
        <w:tc>
          <w:tcPr>
            <w:tcW w:w="1534" w:type="dxa"/>
            <w:tcBorders>
              <w:top w:val="nil"/>
              <w:left w:val="nil"/>
              <w:bottom w:val="single" w:sz="4" w:space="0" w:color="auto"/>
              <w:right w:val="single" w:sz="4" w:space="0" w:color="auto"/>
            </w:tcBorders>
            <w:shd w:val="clear" w:color="000000" w:fill="FFFFFF"/>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p>
        </w:tc>
        <w:tc>
          <w:tcPr>
            <w:tcW w:w="1252" w:type="dxa"/>
            <w:tcBorders>
              <w:top w:val="nil"/>
              <w:left w:val="nil"/>
              <w:bottom w:val="single" w:sz="4" w:space="0" w:color="auto"/>
              <w:right w:val="single" w:sz="4" w:space="0" w:color="auto"/>
            </w:tcBorders>
            <w:shd w:val="clear" w:color="000000" w:fill="FFFFFF"/>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p>
        </w:tc>
        <w:tc>
          <w:tcPr>
            <w:tcW w:w="1312" w:type="dxa"/>
            <w:tcBorders>
              <w:top w:val="nil"/>
              <w:left w:val="nil"/>
              <w:bottom w:val="single" w:sz="4" w:space="0" w:color="auto"/>
              <w:right w:val="single" w:sz="4" w:space="0" w:color="auto"/>
            </w:tcBorders>
            <w:shd w:val="clear" w:color="000000" w:fill="FFFFFF"/>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p>
        </w:tc>
      </w:tr>
      <w:tr w:rsidR="008E175D" w:rsidRPr="00F66D2C" w:rsidTr="00122F71">
        <w:trPr>
          <w:trHeight w:val="259"/>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4048" w:type="dxa"/>
            <w:tcBorders>
              <w:top w:val="nil"/>
              <w:left w:val="nil"/>
              <w:bottom w:val="single" w:sz="4" w:space="0" w:color="auto"/>
              <w:right w:val="single" w:sz="4" w:space="0" w:color="auto"/>
            </w:tcBorders>
            <w:shd w:val="clear" w:color="000000" w:fill="FFFFFF"/>
            <w:vAlign w:val="center"/>
            <w:hideMark/>
          </w:tcPr>
          <w:p w:rsidR="008E175D" w:rsidRPr="00F66D2C" w:rsidRDefault="008E175D" w:rsidP="00F66D2C">
            <w:pPr>
              <w:spacing w:after="0" w:line="360" w:lineRule="auto"/>
              <w:rPr>
                <w:rFonts w:ascii="Bookman Old Style" w:eastAsia="Times New Roman" w:hAnsi="Bookman Old Style" w:cs="Calibri"/>
                <w:lang w:eastAsia="en-IN"/>
              </w:rPr>
            </w:pPr>
            <w:r w:rsidRPr="00F66D2C">
              <w:rPr>
                <w:rFonts w:ascii="Bookman Old Style" w:eastAsia="Times New Roman" w:hAnsi="Bookman Old Style" w:cs="Calibri"/>
                <w:lang w:eastAsia="en-IN"/>
              </w:rPr>
              <w:t>Sales</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28858.33</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27834.6</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lang w:eastAsia="en-IN"/>
              </w:rPr>
            </w:pPr>
            <w:r w:rsidRPr="00F66D2C">
              <w:rPr>
                <w:rFonts w:ascii="Bookman Old Style" w:eastAsia="Times New Roman" w:hAnsi="Bookman Old Style" w:cs="Calibri"/>
                <w:lang w:eastAsia="en-IN"/>
              </w:rPr>
              <w:t>27834.6</w:t>
            </w:r>
          </w:p>
        </w:tc>
      </w:tr>
      <w:tr w:rsidR="008E175D" w:rsidRPr="00F66D2C" w:rsidTr="00122F71">
        <w:trPr>
          <w:trHeight w:val="272"/>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center"/>
              <w:rPr>
                <w:rFonts w:ascii="Bookman Old Style" w:eastAsia="Times New Roman" w:hAnsi="Bookman Old Style" w:cs="Calibri"/>
                <w:lang w:eastAsia="en-IN"/>
              </w:rPr>
            </w:pPr>
          </w:p>
        </w:tc>
        <w:tc>
          <w:tcPr>
            <w:tcW w:w="4048" w:type="dxa"/>
            <w:tcBorders>
              <w:top w:val="nil"/>
              <w:left w:val="nil"/>
              <w:bottom w:val="single" w:sz="4" w:space="0" w:color="auto"/>
              <w:right w:val="single" w:sz="4" w:space="0" w:color="auto"/>
            </w:tcBorders>
            <w:shd w:val="clear" w:color="000000" w:fill="FFFFFF"/>
            <w:noWrap/>
            <w:vAlign w:val="center"/>
            <w:hideMark/>
          </w:tcPr>
          <w:p w:rsidR="008E175D" w:rsidRPr="00F66D2C" w:rsidRDefault="008E175D" w:rsidP="00F66D2C">
            <w:pPr>
              <w:spacing w:after="0" w:line="360" w:lineRule="auto"/>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Average cost of supply</w:t>
            </w:r>
          </w:p>
        </w:tc>
        <w:tc>
          <w:tcPr>
            <w:tcW w:w="1534"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7.37</w:t>
            </w:r>
          </w:p>
        </w:tc>
        <w:tc>
          <w:tcPr>
            <w:tcW w:w="125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8.18</w:t>
            </w:r>
          </w:p>
        </w:tc>
        <w:tc>
          <w:tcPr>
            <w:tcW w:w="1312" w:type="dxa"/>
            <w:tcBorders>
              <w:top w:val="nil"/>
              <w:left w:val="nil"/>
              <w:bottom w:val="single" w:sz="4" w:space="0" w:color="auto"/>
              <w:right w:val="single" w:sz="4" w:space="0" w:color="auto"/>
            </w:tcBorders>
            <w:shd w:val="clear" w:color="auto" w:fill="auto"/>
            <w:noWrap/>
            <w:vAlign w:val="center"/>
            <w:hideMark/>
          </w:tcPr>
          <w:p w:rsidR="008E175D" w:rsidRPr="00F66D2C" w:rsidRDefault="008E175D" w:rsidP="00F66D2C">
            <w:pPr>
              <w:spacing w:after="0" w:line="360" w:lineRule="auto"/>
              <w:jc w:val="right"/>
              <w:rPr>
                <w:rFonts w:ascii="Bookman Old Style" w:eastAsia="Times New Roman" w:hAnsi="Bookman Old Style" w:cs="Calibri"/>
                <w:b/>
                <w:bCs/>
                <w:lang w:eastAsia="en-IN"/>
              </w:rPr>
            </w:pPr>
            <w:r w:rsidRPr="00F66D2C">
              <w:rPr>
                <w:rFonts w:ascii="Bookman Old Style" w:eastAsia="Times New Roman" w:hAnsi="Bookman Old Style" w:cs="Calibri"/>
                <w:b/>
                <w:bCs/>
                <w:lang w:eastAsia="en-IN"/>
              </w:rPr>
              <w:t>8.17</w:t>
            </w:r>
          </w:p>
        </w:tc>
      </w:tr>
    </w:tbl>
    <w:p w:rsidR="00381ACE" w:rsidRDefault="00381ACE" w:rsidP="00717D3E">
      <w:pPr>
        <w:autoSpaceDE w:val="0"/>
        <w:autoSpaceDN w:val="0"/>
        <w:adjustRightInd w:val="0"/>
        <w:spacing w:after="0" w:line="360" w:lineRule="auto"/>
        <w:ind w:left="360" w:right="67"/>
        <w:jc w:val="both"/>
        <w:rPr>
          <w:rFonts w:ascii="Bookman Old Style" w:hAnsi="Bookman Old Style" w:cs="Calibri"/>
          <w:b/>
          <w:color w:val="000000" w:themeColor="text1"/>
          <w:sz w:val="20"/>
          <w:szCs w:val="23"/>
        </w:rPr>
      </w:pPr>
    </w:p>
    <w:p w:rsidR="00381ACE" w:rsidRPr="00E709D7" w:rsidRDefault="00381ACE" w:rsidP="00717D3E">
      <w:pPr>
        <w:pStyle w:val="BodyText3"/>
        <w:spacing w:line="360" w:lineRule="auto"/>
        <w:ind w:right="67"/>
        <w:rPr>
          <w:rFonts w:ascii="Cambria" w:eastAsiaTheme="minorEastAsia" w:hAnsi="Cambria" w:cs="Arial"/>
          <w:b w:val="0"/>
          <w:bCs w:val="0"/>
          <w:color w:val="000000" w:themeColor="text1"/>
          <w:szCs w:val="22"/>
        </w:rPr>
      </w:pPr>
      <w:r w:rsidRPr="00E709D7">
        <w:rPr>
          <w:rFonts w:ascii="Bookman Old Style" w:eastAsiaTheme="minorEastAsia" w:hAnsi="Bookman Old Style" w:cs="Arial"/>
          <w:b w:val="0"/>
          <w:bCs w:val="0"/>
          <w:color w:val="000000" w:themeColor="text1"/>
          <w:szCs w:val="22"/>
        </w:rPr>
        <w:lastRenderedPageBreak/>
        <w:t xml:space="preserve">Considering Aggregate Revenue Requirement and total Revenue, the revised gap works </w:t>
      </w:r>
      <w:r w:rsidRPr="007E6A63">
        <w:rPr>
          <w:rFonts w:ascii="Bookman Old Style" w:eastAsiaTheme="minorEastAsia" w:hAnsi="Bookman Old Style" w:cs="Arial"/>
          <w:b w:val="0"/>
          <w:bCs w:val="0"/>
          <w:szCs w:val="22"/>
        </w:rPr>
        <w:t xml:space="preserve">out to deficit of Rs. </w:t>
      </w:r>
      <w:r w:rsidR="008E175D" w:rsidRPr="007E6A63">
        <w:rPr>
          <w:rFonts w:ascii="Bookman Old Style" w:eastAsiaTheme="minorEastAsia" w:hAnsi="Bookman Old Style" w:cs="Arial"/>
          <w:b w:val="0"/>
          <w:bCs w:val="0"/>
          <w:szCs w:val="22"/>
        </w:rPr>
        <w:t xml:space="preserve">1559.37 </w:t>
      </w:r>
      <w:r w:rsidRPr="007E6A63">
        <w:rPr>
          <w:rFonts w:ascii="Bookman Old Style" w:eastAsiaTheme="minorEastAsia" w:hAnsi="Bookman Old Style" w:cs="Arial"/>
          <w:b w:val="0"/>
          <w:bCs w:val="0"/>
          <w:szCs w:val="22"/>
        </w:rPr>
        <w:t xml:space="preserve">Crs. as </w:t>
      </w:r>
      <w:r w:rsidRPr="00E709D7">
        <w:rPr>
          <w:rFonts w:ascii="Bookman Old Style" w:eastAsiaTheme="minorEastAsia" w:hAnsi="Bookman Old Style" w:cs="Arial"/>
          <w:b w:val="0"/>
          <w:bCs w:val="0"/>
          <w:color w:val="000000" w:themeColor="text1"/>
          <w:szCs w:val="22"/>
        </w:rPr>
        <w:t xml:space="preserve">against Rs. </w:t>
      </w:r>
      <w:r>
        <w:rPr>
          <w:rFonts w:ascii="Bookman Old Style" w:eastAsiaTheme="minorEastAsia" w:hAnsi="Bookman Old Style" w:cs="Arial"/>
          <w:b w:val="0"/>
          <w:bCs w:val="0"/>
          <w:color w:val="000000" w:themeColor="text1"/>
          <w:szCs w:val="22"/>
        </w:rPr>
        <w:t>952</w:t>
      </w:r>
      <w:r w:rsidR="00002C73">
        <w:rPr>
          <w:rFonts w:ascii="Bookman Old Style" w:eastAsiaTheme="minorEastAsia" w:hAnsi="Bookman Old Style" w:cs="Arial"/>
          <w:b w:val="0"/>
          <w:bCs w:val="0"/>
          <w:color w:val="000000" w:themeColor="text1"/>
          <w:szCs w:val="22"/>
        </w:rPr>
        <w:t>.33</w:t>
      </w:r>
      <w:r w:rsidRPr="00E709D7">
        <w:rPr>
          <w:rFonts w:ascii="Bookman Old Style" w:eastAsiaTheme="minorEastAsia" w:hAnsi="Bookman Old Style" w:cs="Arial"/>
          <w:b w:val="0"/>
          <w:bCs w:val="0"/>
          <w:color w:val="000000" w:themeColor="text1"/>
          <w:szCs w:val="22"/>
        </w:rPr>
        <w:t xml:space="preserve"> Crs., deficit approved in Tariff Order 201</w:t>
      </w:r>
      <w:r>
        <w:rPr>
          <w:rFonts w:ascii="Bookman Old Style" w:eastAsiaTheme="minorEastAsia" w:hAnsi="Bookman Old Style" w:cs="Arial"/>
          <w:b w:val="0"/>
          <w:bCs w:val="0"/>
          <w:color w:val="000000" w:themeColor="text1"/>
          <w:szCs w:val="22"/>
        </w:rPr>
        <w:t>9</w:t>
      </w:r>
      <w:r w:rsidRPr="00E709D7">
        <w:rPr>
          <w:rFonts w:ascii="Bookman Old Style" w:eastAsiaTheme="minorEastAsia" w:hAnsi="Bookman Old Style" w:cs="Arial"/>
          <w:b w:val="0"/>
          <w:bCs w:val="0"/>
          <w:color w:val="000000" w:themeColor="text1"/>
          <w:szCs w:val="22"/>
        </w:rPr>
        <w:t xml:space="preserve">, dated </w:t>
      </w:r>
      <w:r>
        <w:rPr>
          <w:rFonts w:ascii="Bookman Old Style" w:eastAsiaTheme="minorEastAsia" w:hAnsi="Bookman Old Style" w:cs="Arial"/>
          <w:b w:val="0"/>
          <w:bCs w:val="0"/>
          <w:color w:val="000000" w:themeColor="text1"/>
          <w:szCs w:val="22"/>
        </w:rPr>
        <w:t>30.05.2019</w:t>
      </w:r>
      <w:r w:rsidRPr="00E709D7">
        <w:rPr>
          <w:rFonts w:ascii="Bookman Old Style" w:eastAsiaTheme="minorEastAsia" w:hAnsi="Bookman Old Style" w:cs="Arial"/>
          <w:b w:val="0"/>
          <w:bCs w:val="0"/>
          <w:color w:val="000000" w:themeColor="text1"/>
          <w:szCs w:val="22"/>
        </w:rPr>
        <w:t xml:space="preserve"> by the Hon’ble Commission.</w:t>
      </w:r>
    </w:p>
    <w:p w:rsidR="00BB7048" w:rsidRDefault="00BB7048" w:rsidP="00717D3E">
      <w:pPr>
        <w:autoSpaceDE w:val="0"/>
        <w:autoSpaceDN w:val="0"/>
        <w:adjustRightInd w:val="0"/>
        <w:spacing w:after="0" w:line="240" w:lineRule="auto"/>
        <w:ind w:right="67"/>
        <w:rPr>
          <w:rFonts w:ascii="Bookman Old Style" w:hAnsi="Bookman Old Style" w:cs="Calibri"/>
          <w:b/>
          <w:color w:val="000000" w:themeColor="text1"/>
          <w:sz w:val="24"/>
          <w:szCs w:val="24"/>
        </w:rPr>
      </w:pPr>
    </w:p>
    <w:p w:rsidR="00381ACE" w:rsidRPr="00E709D7" w:rsidRDefault="00381ACE" w:rsidP="00717D3E">
      <w:pPr>
        <w:autoSpaceDE w:val="0"/>
        <w:autoSpaceDN w:val="0"/>
        <w:adjustRightInd w:val="0"/>
        <w:spacing w:after="0" w:line="240" w:lineRule="auto"/>
        <w:ind w:right="67"/>
        <w:rPr>
          <w:rFonts w:ascii="Bookman Old Style" w:hAnsi="Bookman Old Style" w:cs="Calibri"/>
          <w:b/>
          <w:color w:val="000000" w:themeColor="text1"/>
          <w:sz w:val="24"/>
          <w:szCs w:val="24"/>
        </w:rPr>
      </w:pPr>
      <w:r w:rsidRPr="00E709D7">
        <w:rPr>
          <w:rFonts w:ascii="Bookman Old Style" w:hAnsi="Bookman Old Style" w:cs="Calibri"/>
          <w:b/>
          <w:color w:val="000000" w:themeColor="text1"/>
          <w:sz w:val="24"/>
          <w:szCs w:val="24"/>
        </w:rPr>
        <w:t>Average Cost of Supply:</w:t>
      </w:r>
    </w:p>
    <w:p w:rsidR="00381ACE" w:rsidRPr="00E709D7" w:rsidRDefault="00381ACE" w:rsidP="00717D3E">
      <w:pPr>
        <w:autoSpaceDE w:val="0"/>
        <w:autoSpaceDN w:val="0"/>
        <w:adjustRightInd w:val="0"/>
        <w:spacing w:after="0" w:line="240" w:lineRule="auto"/>
        <w:ind w:right="67"/>
        <w:rPr>
          <w:rFonts w:cs="Calibri"/>
          <w:color w:val="000000" w:themeColor="text1"/>
          <w:sz w:val="24"/>
          <w:szCs w:val="24"/>
        </w:rPr>
      </w:pPr>
    </w:p>
    <w:p w:rsidR="00381ACE" w:rsidRPr="007D6E76" w:rsidRDefault="00381ACE" w:rsidP="00717D3E">
      <w:pPr>
        <w:autoSpaceDE w:val="0"/>
        <w:autoSpaceDN w:val="0"/>
        <w:adjustRightInd w:val="0"/>
        <w:spacing w:after="0" w:line="360" w:lineRule="auto"/>
        <w:ind w:right="67"/>
        <w:jc w:val="both"/>
        <w:rPr>
          <w:rFonts w:ascii="Bookman Old Style" w:hAnsi="Bookman Old Style" w:cs="Calibri"/>
          <w:color w:val="000000" w:themeColor="text1"/>
          <w:szCs w:val="24"/>
        </w:rPr>
      </w:pPr>
      <w:r w:rsidRPr="007D6E76">
        <w:rPr>
          <w:rFonts w:ascii="Bookman Old Style" w:hAnsi="Bookman Old Style" w:cs="Calibri"/>
          <w:color w:val="000000" w:themeColor="text1"/>
          <w:szCs w:val="24"/>
        </w:rPr>
        <w:t>Commission determined the average cost of supply at Rs.8.</w:t>
      </w:r>
      <w:r w:rsidR="008E175D">
        <w:rPr>
          <w:rFonts w:ascii="Bookman Old Style" w:hAnsi="Bookman Old Style" w:cs="Calibri"/>
          <w:color w:val="000000" w:themeColor="text1"/>
          <w:szCs w:val="24"/>
        </w:rPr>
        <w:t>17</w:t>
      </w:r>
      <w:r w:rsidRPr="007D6E76">
        <w:rPr>
          <w:rFonts w:ascii="Bookman Old Style" w:hAnsi="Bookman Old Style" w:cs="Calibri"/>
          <w:color w:val="000000" w:themeColor="text1"/>
          <w:szCs w:val="24"/>
        </w:rPr>
        <w:t xml:space="preserve"> per unit for FY-20. Actual Average Cost of Supply is tabulated below:</w:t>
      </w:r>
    </w:p>
    <w:p w:rsidR="00381ACE" w:rsidRPr="00056FD6" w:rsidRDefault="0067773D" w:rsidP="0067773D">
      <w:pPr>
        <w:autoSpaceDE w:val="0"/>
        <w:autoSpaceDN w:val="0"/>
        <w:adjustRightInd w:val="0"/>
        <w:spacing w:after="0" w:line="360" w:lineRule="auto"/>
        <w:ind w:right="67"/>
        <w:jc w:val="center"/>
        <w:rPr>
          <w:rFonts w:ascii="Bookman Old Style" w:hAnsi="Bookman Old Style" w:cs="Calibri"/>
          <w:b/>
          <w:color w:val="000000" w:themeColor="text1"/>
          <w:szCs w:val="24"/>
        </w:rPr>
      </w:pPr>
      <w:r w:rsidRPr="00056FD6">
        <w:rPr>
          <w:rFonts w:ascii="Bookman Old Style" w:hAnsi="Bookman Old Style" w:cs="Calibri"/>
          <w:b/>
          <w:bCs/>
          <w:sz w:val="18"/>
          <w:lang w:eastAsia="en-IN"/>
        </w:rPr>
        <w:t>Table 3.</w:t>
      </w:r>
      <w:r w:rsidR="001F0DC3">
        <w:rPr>
          <w:rFonts w:ascii="Bookman Old Style" w:hAnsi="Bookman Old Style" w:cs="Calibri"/>
          <w:b/>
          <w:bCs/>
          <w:sz w:val="18"/>
          <w:szCs w:val="20"/>
          <w:lang w:eastAsia="en-IN"/>
        </w:rPr>
        <w:t>50</w:t>
      </w:r>
    </w:p>
    <w:tbl>
      <w:tblPr>
        <w:tblW w:w="7417" w:type="dxa"/>
        <w:jc w:val="center"/>
        <w:tblLook w:val="04A0" w:firstRow="1" w:lastRow="0" w:firstColumn="1" w:lastColumn="0" w:noHBand="0" w:noVBand="1"/>
      </w:tblPr>
      <w:tblGrid>
        <w:gridCol w:w="4316"/>
        <w:gridCol w:w="1610"/>
        <w:gridCol w:w="1491"/>
      </w:tblGrid>
      <w:tr w:rsidR="00381ACE" w:rsidRPr="007D6E76" w:rsidTr="006C0863">
        <w:trPr>
          <w:trHeight w:val="213"/>
          <w:jc w:val="center"/>
        </w:trPr>
        <w:tc>
          <w:tcPr>
            <w:tcW w:w="43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81ACE" w:rsidRPr="0005731D" w:rsidRDefault="00381ACE" w:rsidP="00D75453">
            <w:pPr>
              <w:spacing w:after="0" w:line="360" w:lineRule="auto"/>
              <w:ind w:right="67"/>
              <w:jc w:val="center"/>
              <w:rPr>
                <w:rFonts w:ascii="Bookman Old Style" w:hAnsi="Bookman Old Style" w:cs="Calibri"/>
                <w:b/>
                <w:color w:val="000000"/>
                <w:lang w:eastAsia="en-IN"/>
              </w:rPr>
            </w:pPr>
            <w:r w:rsidRPr="0005731D">
              <w:rPr>
                <w:rFonts w:ascii="Bookman Old Style" w:hAnsi="Bookman Old Style" w:cs="Calibri"/>
                <w:b/>
                <w:color w:val="000000"/>
                <w:lang w:eastAsia="en-IN"/>
              </w:rPr>
              <w:t>Particulars</w:t>
            </w:r>
          </w:p>
        </w:tc>
        <w:tc>
          <w:tcPr>
            <w:tcW w:w="3101" w:type="dxa"/>
            <w:gridSpan w:val="2"/>
            <w:tcBorders>
              <w:top w:val="single" w:sz="8" w:space="0" w:color="000000"/>
              <w:left w:val="nil"/>
              <w:bottom w:val="single" w:sz="8" w:space="0" w:color="000000"/>
              <w:right w:val="single" w:sz="8" w:space="0" w:color="000000"/>
            </w:tcBorders>
            <w:shd w:val="clear" w:color="auto" w:fill="auto"/>
            <w:vAlign w:val="center"/>
            <w:hideMark/>
          </w:tcPr>
          <w:p w:rsidR="00381ACE" w:rsidRPr="0005731D" w:rsidRDefault="00381ACE" w:rsidP="0005731D">
            <w:pPr>
              <w:spacing w:after="0" w:line="360" w:lineRule="auto"/>
              <w:ind w:right="67"/>
              <w:jc w:val="center"/>
              <w:rPr>
                <w:rFonts w:ascii="Bookman Old Style" w:hAnsi="Bookman Old Style" w:cs="Calibri"/>
                <w:b/>
                <w:color w:val="000000"/>
                <w:lang w:eastAsia="en-IN"/>
              </w:rPr>
            </w:pPr>
            <w:r w:rsidRPr="0005731D">
              <w:rPr>
                <w:rFonts w:ascii="Bookman Old Style" w:hAnsi="Bookman Old Style" w:cs="Calibri"/>
                <w:b/>
                <w:color w:val="000000"/>
                <w:lang w:eastAsia="en-IN"/>
              </w:rPr>
              <w:t>FY-20</w:t>
            </w:r>
          </w:p>
        </w:tc>
      </w:tr>
      <w:tr w:rsidR="00381ACE" w:rsidRPr="007D6E76" w:rsidTr="006C0863">
        <w:trPr>
          <w:trHeight w:val="213"/>
          <w:jc w:val="center"/>
        </w:trPr>
        <w:tc>
          <w:tcPr>
            <w:tcW w:w="431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81ACE" w:rsidRPr="007D6E76" w:rsidRDefault="00381ACE" w:rsidP="0005731D">
            <w:pPr>
              <w:spacing w:after="0" w:line="360" w:lineRule="auto"/>
              <w:ind w:right="67"/>
              <w:rPr>
                <w:rFonts w:ascii="Bookman Old Style" w:hAnsi="Bookman Old Style" w:cs="Calibri"/>
                <w:color w:val="000000"/>
                <w:lang w:eastAsia="en-IN"/>
              </w:rPr>
            </w:pPr>
          </w:p>
        </w:tc>
        <w:tc>
          <w:tcPr>
            <w:tcW w:w="1610" w:type="dxa"/>
            <w:tcBorders>
              <w:top w:val="nil"/>
              <w:left w:val="nil"/>
              <w:bottom w:val="single" w:sz="8" w:space="0" w:color="000000"/>
              <w:right w:val="single" w:sz="8" w:space="0" w:color="000000"/>
            </w:tcBorders>
            <w:shd w:val="clear" w:color="auto" w:fill="auto"/>
            <w:vAlign w:val="center"/>
            <w:hideMark/>
          </w:tcPr>
          <w:p w:rsidR="00381ACE" w:rsidRPr="0005731D" w:rsidRDefault="00381ACE" w:rsidP="0005731D">
            <w:pPr>
              <w:spacing w:after="0" w:line="360" w:lineRule="auto"/>
              <w:ind w:right="67"/>
              <w:jc w:val="both"/>
              <w:rPr>
                <w:rFonts w:ascii="Bookman Old Style" w:hAnsi="Bookman Old Style" w:cs="Calibri"/>
                <w:b/>
                <w:color w:val="000000"/>
                <w:lang w:eastAsia="en-IN"/>
              </w:rPr>
            </w:pPr>
            <w:r w:rsidRPr="0005731D">
              <w:rPr>
                <w:rFonts w:ascii="Bookman Old Style" w:hAnsi="Bookman Old Style" w:cs="Calibri"/>
                <w:b/>
                <w:color w:val="000000"/>
                <w:lang w:eastAsia="en-IN"/>
              </w:rPr>
              <w:t>Approved</w:t>
            </w:r>
          </w:p>
        </w:tc>
        <w:tc>
          <w:tcPr>
            <w:tcW w:w="1491" w:type="dxa"/>
            <w:tcBorders>
              <w:top w:val="nil"/>
              <w:left w:val="nil"/>
              <w:bottom w:val="single" w:sz="8" w:space="0" w:color="000000"/>
              <w:right w:val="single" w:sz="8" w:space="0" w:color="000000"/>
            </w:tcBorders>
            <w:shd w:val="clear" w:color="auto" w:fill="auto"/>
            <w:vAlign w:val="center"/>
            <w:hideMark/>
          </w:tcPr>
          <w:p w:rsidR="00381ACE" w:rsidRPr="0005731D" w:rsidRDefault="00381ACE" w:rsidP="0005731D">
            <w:pPr>
              <w:spacing w:after="0" w:line="360" w:lineRule="auto"/>
              <w:ind w:right="67"/>
              <w:jc w:val="both"/>
              <w:rPr>
                <w:rFonts w:ascii="Bookman Old Style" w:hAnsi="Bookman Old Style" w:cs="Calibri"/>
                <w:b/>
                <w:color w:val="000000"/>
                <w:lang w:eastAsia="en-IN"/>
              </w:rPr>
            </w:pPr>
            <w:r w:rsidRPr="0005731D">
              <w:rPr>
                <w:rFonts w:ascii="Bookman Old Style" w:hAnsi="Bookman Old Style" w:cs="Calibri"/>
                <w:b/>
                <w:color w:val="000000"/>
                <w:lang w:eastAsia="en-IN"/>
              </w:rPr>
              <w:t>Actual</w:t>
            </w:r>
          </w:p>
        </w:tc>
      </w:tr>
      <w:tr w:rsidR="00381ACE" w:rsidRPr="007D6E76" w:rsidTr="006C0863">
        <w:trPr>
          <w:trHeight w:val="397"/>
          <w:jc w:val="center"/>
        </w:trPr>
        <w:tc>
          <w:tcPr>
            <w:tcW w:w="4316" w:type="dxa"/>
            <w:tcBorders>
              <w:top w:val="nil"/>
              <w:left w:val="single" w:sz="8" w:space="0" w:color="000000"/>
              <w:bottom w:val="single" w:sz="8" w:space="0" w:color="000000"/>
              <w:right w:val="single" w:sz="8" w:space="0" w:color="000000"/>
            </w:tcBorders>
            <w:shd w:val="clear" w:color="auto" w:fill="auto"/>
            <w:vAlign w:val="center"/>
            <w:hideMark/>
          </w:tcPr>
          <w:p w:rsidR="00381ACE" w:rsidRPr="007D6E76" w:rsidRDefault="00381ACE" w:rsidP="003447B2">
            <w:pPr>
              <w:spacing w:after="0" w:line="360" w:lineRule="auto"/>
              <w:ind w:right="67"/>
              <w:rPr>
                <w:rFonts w:ascii="Bookman Old Style" w:hAnsi="Bookman Old Style" w:cs="Calibri"/>
                <w:color w:val="000000"/>
                <w:lang w:eastAsia="en-IN"/>
              </w:rPr>
            </w:pPr>
            <w:r w:rsidRPr="007D6E76">
              <w:rPr>
                <w:rFonts w:ascii="Bookman Old Style" w:hAnsi="Bookman Old Style" w:cs="Calibri"/>
                <w:color w:val="000000"/>
                <w:lang w:eastAsia="en-IN"/>
              </w:rPr>
              <w:t>Net ARR (in Crs.)</w:t>
            </w:r>
          </w:p>
        </w:tc>
        <w:tc>
          <w:tcPr>
            <w:tcW w:w="1610" w:type="dxa"/>
            <w:tcBorders>
              <w:top w:val="nil"/>
              <w:left w:val="nil"/>
              <w:bottom w:val="single" w:sz="8" w:space="0" w:color="000000"/>
              <w:right w:val="single" w:sz="8" w:space="0" w:color="000000"/>
            </w:tcBorders>
            <w:shd w:val="clear" w:color="auto" w:fill="auto"/>
            <w:vAlign w:val="center"/>
            <w:hideMark/>
          </w:tcPr>
          <w:p w:rsidR="00381ACE" w:rsidRPr="007D6E76" w:rsidRDefault="00381ACE" w:rsidP="00D75453">
            <w:pPr>
              <w:spacing w:after="0" w:line="360" w:lineRule="auto"/>
              <w:ind w:right="67"/>
              <w:jc w:val="right"/>
              <w:rPr>
                <w:rFonts w:ascii="Bookman Old Style" w:hAnsi="Bookman Old Style" w:cs="Calibri"/>
                <w:color w:val="000000"/>
                <w:lang w:eastAsia="en-IN"/>
              </w:rPr>
            </w:pPr>
            <w:r w:rsidRPr="007D6E76">
              <w:rPr>
                <w:rFonts w:ascii="Bookman Old Style" w:hAnsi="Bookman Old Style" w:cs="Calibri"/>
                <w:color w:val="000000"/>
                <w:lang w:eastAsia="en-IN"/>
              </w:rPr>
              <w:t>21274.42</w:t>
            </w:r>
          </w:p>
        </w:tc>
        <w:tc>
          <w:tcPr>
            <w:tcW w:w="1491" w:type="dxa"/>
            <w:tcBorders>
              <w:top w:val="nil"/>
              <w:left w:val="nil"/>
              <w:bottom w:val="single" w:sz="8" w:space="0" w:color="000000"/>
              <w:right w:val="single" w:sz="8" w:space="0" w:color="000000"/>
            </w:tcBorders>
            <w:shd w:val="clear" w:color="auto" w:fill="auto"/>
            <w:vAlign w:val="center"/>
            <w:hideMark/>
          </w:tcPr>
          <w:p w:rsidR="00381ACE" w:rsidRPr="007D6E76" w:rsidRDefault="008E175D" w:rsidP="00D75453">
            <w:pPr>
              <w:spacing w:after="0" w:line="360" w:lineRule="auto"/>
              <w:ind w:right="67"/>
              <w:jc w:val="right"/>
              <w:rPr>
                <w:rFonts w:ascii="Bookman Old Style" w:hAnsi="Bookman Old Style" w:cs="Calibri"/>
                <w:color w:val="000000"/>
                <w:lang w:eastAsia="en-IN"/>
              </w:rPr>
            </w:pPr>
            <w:r>
              <w:rPr>
                <w:rFonts w:ascii="Bookman Old Style" w:hAnsi="Bookman Old Style" w:cs="Calibri"/>
                <w:color w:val="000000"/>
                <w:lang w:eastAsia="en-IN"/>
              </w:rPr>
              <w:t>22730.07</w:t>
            </w:r>
          </w:p>
        </w:tc>
      </w:tr>
      <w:tr w:rsidR="00381ACE" w:rsidRPr="007D6E76" w:rsidTr="006C0863">
        <w:trPr>
          <w:trHeight w:val="397"/>
          <w:jc w:val="center"/>
        </w:trPr>
        <w:tc>
          <w:tcPr>
            <w:tcW w:w="4316" w:type="dxa"/>
            <w:tcBorders>
              <w:top w:val="nil"/>
              <w:left w:val="single" w:sz="8" w:space="0" w:color="000000"/>
              <w:bottom w:val="single" w:sz="8" w:space="0" w:color="000000"/>
              <w:right w:val="single" w:sz="8" w:space="0" w:color="000000"/>
            </w:tcBorders>
            <w:shd w:val="clear" w:color="auto" w:fill="auto"/>
            <w:vAlign w:val="center"/>
            <w:hideMark/>
          </w:tcPr>
          <w:p w:rsidR="00381ACE" w:rsidRPr="007D6E76" w:rsidRDefault="00381ACE" w:rsidP="003447B2">
            <w:pPr>
              <w:spacing w:after="0" w:line="360" w:lineRule="auto"/>
              <w:ind w:right="67"/>
              <w:rPr>
                <w:rFonts w:ascii="Bookman Old Style" w:hAnsi="Bookman Old Style" w:cs="Calibri"/>
                <w:color w:val="000000"/>
                <w:lang w:eastAsia="en-IN"/>
              </w:rPr>
            </w:pPr>
            <w:r w:rsidRPr="007D6E76">
              <w:rPr>
                <w:rFonts w:ascii="Bookman Old Style" w:hAnsi="Bookman Old Style" w:cs="Calibri"/>
                <w:color w:val="000000"/>
                <w:lang w:eastAsia="en-IN"/>
              </w:rPr>
              <w:t>Approved/Actual Sales</w:t>
            </w:r>
            <w:r w:rsidR="003447B2">
              <w:rPr>
                <w:rFonts w:ascii="Bookman Old Style" w:hAnsi="Bookman Old Style" w:cs="Calibri"/>
                <w:color w:val="000000"/>
                <w:lang w:eastAsia="en-IN"/>
              </w:rPr>
              <w:t xml:space="preserve"> </w:t>
            </w:r>
            <w:r w:rsidRPr="007D6E76">
              <w:rPr>
                <w:rFonts w:ascii="Bookman Old Style" w:hAnsi="Bookman Old Style" w:cs="Calibri"/>
                <w:color w:val="000000"/>
                <w:lang w:eastAsia="en-IN"/>
              </w:rPr>
              <w:t>(MU)</w:t>
            </w:r>
          </w:p>
        </w:tc>
        <w:tc>
          <w:tcPr>
            <w:tcW w:w="1610" w:type="dxa"/>
            <w:tcBorders>
              <w:top w:val="nil"/>
              <w:left w:val="nil"/>
              <w:bottom w:val="single" w:sz="8" w:space="0" w:color="000000"/>
              <w:right w:val="single" w:sz="8" w:space="0" w:color="000000"/>
            </w:tcBorders>
            <w:shd w:val="clear" w:color="auto" w:fill="auto"/>
            <w:vAlign w:val="center"/>
            <w:hideMark/>
          </w:tcPr>
          <w:p w:rsidR="00381ACE" w:rsidRPr="007D6E76" w:rsidRDefault="00381ACE" w:rsidP="00D75453">
            <w:pPr>
              <w:spacing w:after="0" w:line="360" w:lineRule="auto"/>
              <w:ind w:right="67"/>
              <w:jc w:val="right"/>
              <w:rPr>
                <w:rFonts w:ascii="Bookman Old Style" w:hAnsi="Bookman Old Style" w:cs="Calibri"/>
                <w:color w:val="000000"/>
                <w:lang w:eastAsia="en-IN"/>
              </w:rPr>
            </w:pPr>
            <w:r w:rsidRPr="007D6E76">
              <w:rPr>
                <w:rFonts w:ascii="Bookman Old Style" w:hAnsi="Bookman Old Style" w:cs="Calibri"/>
                <w:color w:val="000000"/>
                <w:lang w:eastAsia="en-IN"/>
              </w:rPr>
              <w:t>28858.33</w:t>
            </w:r>
          </w:p>
        </w:tc>
        <w:tc>
          <w:tcPr>
            <w:tcW w:w="1491" w:type="dxa"/>
            <w:tcBorders>
              <w:top w:val="nil"/>
              <w:left w:val="nil"/>
              <w:bottom w:val="single" w:sz="8" w:space="0" w:color="000000"/>
              <w:right w:val="single" w:sz="8" w:space="0" w:color="000000"/>
            </w:tcBorders>
            <w:shd w:val="clear" w:color="auto" w:fill="auto"/>
            <w:vAlign w:val="center"/>
            <w:hideMark/>
          </w:tcPr>
          <w:p w:rsidR="00381ACE" w:rsidRPr="007D6E76" w:rsidRDefault="00381ACE" w:rsidP="00D75453">
            <w:pPr>
              <w:spacing w:after="0" w:line="360" w:lineRule="auto"/>
              <w:ind w:right="67"/>
              <w:jc w:val="right"/>
              <w:rPr>
                <w:rFonts w:ascii="Bookman Old Style" w:hAnsi="Bookman Old Style" w:cs="Calibri"/>
                <w:color w:val="000000"/>
                <w:lang w:eastAsia="en-IN"/>
              </w:rPr>
            </w:pPr>
            <w:r w:rsidRPr="007D6E76">
              <w:rPr>
                <w:rFonts w:ascii="Bookman Old Style" w:hAnsi="Bookman Old Style" w:cs="Calibri"/>
                <w:color w:val="000000"/>
                <w:lang w:eastAsia="en-IN"/>
              </w:rPr>
              <w:t>27834.6</w:t>
            </w:r>
          </w:p>
        </w:tc>
      </w:tr>
      <w:tr w:rsidR="00381ACE" w:rsidRPr="007D6E76" w:rsidTr="006C0863">
        <w:trPr>
          <w:trHeight w:val="590"/>
          <w:jc w:val="center"/>
        </w:trPr>
        <w:tc>
          <w:tcPr>
            <w:tcW w:w="4316" w:type="dxa"/>
            <w:tcBorders>
              <w:top w:val="nil"/>
              <w:left w:val="single" w:sz="8" w:space="0" w:color="000000"/>
              <w:bottom w:val="single" w:sz="8" w:space="0" w:color="000000"/>
              <w:right w:val="single" w:sz="8" w:space="0" w:color="000000"/>
            </w:tcBorders>
            <w:shd w:val="clear" w:color="auto" w:fill="auto"/>
            <w:vAlign w:val="center"/>
            <w:hideMark/>
          </w:tcPr>
          <w:p w:rsidR="00381ACE" w:rsidRPr="007D6E76" w:rsidRDefault="003447B2" w:rsidP="003447B2">
            <w:pPr>
              <w:spacing w:after="0" w:line="360" w:lineRule="auto"/>
              <w:ind w:right="67"/>
              <w:rPr>
                <w:rFonts w:ascii="Bookman Old Style" w:hAnsi="Bookman Old Style" w:cs="Calibri"/>
                <w:color w:val="000000"/>
                <w:lang w:eastAsia="en-IN"/>
              </w:rPr>
            </w:pPr>
            <w:r>
              <w:rPr>
                <w:rFonts w:ascii="Bookman Old Style" w:hAnsi="Bookman Old Style" w:cs="Calibri"/>
                <w:color w:val="000000"/>
                <w:lang w:eastAsia="en-IN"/>
              </w:rPr>
              <w:t xml:space="preserve">Average Cost of Supply </w:t>
            </w:r>
            <w:r w:rsidR="00381ACE" w:rsidRPr="007D6E76">
              <w:rPr>
                <w:rFonts w:ascii="Bookman Old Style" w:hAnsi="Bookman Old Style" w:cs="Calibri"/>
                <w:color w:val="000000"/>
                <w:lang w:eastAsia="en-IN"/>
              </w:rPr>
              <w:t>(Rs./unit)</w:t>
            </w:r>
          </w:p>
        </w:tc>
        <w:tc>
          <w:tcPr>
            <w:tcW w:w="1610" w:type="dxa"/>
            <w:tcBorders>
              <w:top w:val="nil"/>
              <w:left w:val="nil"/>
              <w:bottom w:val="single" w:sz="8" w:space="0" w:color="000000"/>
              <w:right w:val="single" w:sz="8" w:space="0" w:color="000000"/>
            </w:tcBorders>
            <w:shd w:val="clear" w:color="auto" w:fill="auto"/>
            <w:vAlign w:val="center"/>
            <w:hideMark/>
          </w:tcPr>
          <w:p w:rsidR="00381ACE" w:rsidRPr="007D6E76" w:rsidRDefault="00381ACE" w:rsidP="00D75453">
            <w:pPr>
              <w:spacing w:after="0" w:line="360" w:lineRule="auto"/>
              <w:ind w:right="67"/>
              <w:jc w:val="right"/>
              <w:rPr>
                <w:rFonts w:ascii="Bookman Old Style" w:hAnsi="Bookman Old Style" w:cs="Calibri"/>
                <w:color w:val="000000"/>
                <w:lang w:eastAsia="en-IN"/>
              </w:rPr>
            </w:pPr>
            <w:r w:rsidRPr="007D6E76">
              <w:rPr>
                <w:rFonts w:ascii="Bookman Old Style" w:hAnsi="Bookman Old Style" w:cs="Calibri"/>
                <w:color w:val="000000"/>
                <w:lang w:eastAsia="en-IN"/>
              </w:rPr>
              <w:t>7.37</w:t>
            </w:r>
          </w:p>
        </w:tc>
        <w:tc>
          <w:tcPr>
            <w:tcW w:w="1491" w:type="dxa"/>
            <w:tcBorders>
              <w:top w:val="nil"/>
              <w:left w:val="nil"/>
              <w:bottom w:val="single" w:sz="8" w:space="0" w:color="000000"/>
              <w:right w:val="single" w:sz="8" w:space="0" w:color="000000"/>
            </w:tcBorders>
            <w:shd w:val="clear" w:color="auto" w:fill="auto"/>
            <w:vAlign w:val="center"/>
            <w:hideMark/>
          </w:tcPr>
          <w:p w:rsidR="00381ACE" w:rsidRPr="007D6E76" w:rsidRDefault="00381ACE" w:rsidP="008E175D">
            <w:pPr>
              <w:spacing w:after="0" w:line="360" w:lineRule="auto"/>
              <w:ind w:right="67"/>
              <w:jc w:val="right"/>
              <w:rPr>
                <w:rFonts w:ascii="Bookman Old Style" w:hAnsi="Bookman Old Style" w:cs="Calibri"/>
                <w:color w:val="000000"/>
                <w:lang w:eastAsia="en-IN"/>
              </w:rPr>
            </w:pPr>
            <w:r w:rsidRPr="007D6E76">
              <w:rPr>
                <w:rFonts w:ascii="Bookman Old Style" w:hAnsi="Bookman Old Style" w:cs="Calibri"/>
                <w:color w:val="000000"/>
                <w:lang w:eastAsia="en-IN"/>
              </w:rPr>
              <w:t>8.</w:t>
            </w:r>
            <w:r w:rsidR="007E6A63">
              <w:rPr>
                <w:rFonts w:ascii="Bookman Old Style" w:hAnsi="Bookman Old Style" w:cs="Calibri"/>
                <w:color w:val="000000"/>
                <w:lang w:eastAsia="en-IN"/>
              </w:rPr>
              <w:t>17</w:t>
            </w:r>
          </w:p>
        </w:tc>
      </w:tr>
    </w:tbl>
    <w:p w:rsidR="00381ACE" w:rsidRDefault="00381ACE" w:rsidP="00717D3E">
      <w:pPr>
        <w:autoSpaceDE w:val="0"/>
        <w:autoSpaceDN w:val="0"/>
        <w:adjustRightInd w:val="0"/>
        <w:spacing w:after="0" w:line="360" w:lineRule="auto"/>
        <w:ind w:right="67"/>
        <w:jc w:val="both"/>
        <w:rPr>
          <w:rFonts w:ascii="Bookman Old Style" w:hAnsi="Bookman Old Style" w:cs="Calibri"/>
          <w:color w:val="000000" w:themeColor="text1"/>
          <w:sz w:val="24"/>
          <w:szCs w:val="24"/>
        </w:rPr>
      </w:pPr>
    </w:p>
    <w:p w:rsidR="00381ACE" w:rsidRPr="00E709D7" w:rsidRDefault="00381ACE" w:rsidP="00717D3E">
      <w:pPr>
        <w:pStyle w:val="BodyText3"/>
        <w:spacing w:line="360" w:lineRule="auto"/>
        <w:ind w:right="67"/>
        <w:rPr>
          <w:rFonts w:ascii="Bookman Old Style" w:eastAsiaTheme="minorEastAsia" w:hAnsi="Bookman Old Style" w:cs="Arial"/>
          <w:b w:val="0"/>
          <w:bCs w:val="0"/>
          <w:color w:val="000000" w:themeColor="text1"/>
          <w:szCs w:val="22"/>
        </w:rPr>
      </w:pPr>
      <w:r w:rsidRPr="00E709D7">
        <w:rPr>
          <w:rFonts w:ascii="Bookman Old Style" w:eastAsiaTheme="minorEastAsia" w:hAnsi="Bookman Old Style" w:cs="Arial"/>
          <w:b w:val="0"/>
          <w:bCs w:val="0"/>
          <w:color w:val="000000" w:themeColor="text1"/>
          <w:szCs w:val="22"/>
        </w:rPr>
        <w:t xml:space="preserve">As per proposed trued up figures, average cost of supply shoots up to Rs. </w:t>
      </w:r>
      <w:r>
        <w:rPr>
          <w:rFonts w:ascii="Bookman Old Style" w:eastAsiaTheme="minorEastAsia" w:hAnsi="Bookman Old Style" w:cs="Arial"/>
          <w:b w:val="0"/>
          <w:bCs w:val="0"/>
          <w:color w:val="000000" w:themeColor="text1"/>
          <w:szCs w:val="22"/>
        </w:rPr>
        <w:t>8.</w:t>
      </w:r>
      <w:r w:rsidR="009A4C4C">
        <w:rPr>
          <w:rFonts w:ascii="Bookman Old Style" w:eastAsiaTheme="minorEastAsia" w:hAnsi="Bookman Old Style" w:cs="Arial"/>
          <w:b w:val="0"/>
          <w:bCs w:val="0"/>
          <w:color w:val="000000" w:themeColor="text1"/>
          <w:szCs w:val="22"/>
        </w:rPr>
        <w:t>17</w:t>
      </w:r>
      <w:r w:rsidRPr="00E709D7">
        <w:rPr>
          <w:rFonts w:ascii="Bookman Old Style" w:eastAsiaTheme="minorEastAsia" w:hAnsi="Bookman Old Style" w:cs="Arial"/>
          <w:b w:val="0"/>
          <w:bCs w:val="0"/>
          <w:color w:val="000000" w:themeColor="text1"/>
          <w:szCs w:val="22"/>
        </w:rPr>
        <w:t xml:space="preserve"> per unit as against approved average cost of Supply of </w:t>
      </w:r>
      <w:r w:rsidRPr="001742B5">
        <w:rPr>
          <w:rFonts w:ascii="Bookman Old Style" w:eastAsiaTheme="minorEastAsia" w:hAnsi="Bookman Old Style" w:cs="Arial"/>
          <w:b w:val="0"/>
          <w:bCs w:val="0"/>
          <w:color w:val="000000" w:themeColor="text1"/>
          <w:szCs w:val="22"/>
          <w:shd w:val="clear" w:color="auto" w:fill="FFFFFF" w:themeFill="background1"/>
        </w:rPr>
        <w:t xml:space="preserve">Rs. </w:t>
      </w:r>
      <w:r>
        <w:rPr>
          <w:rFonts w:ascii="Bookman Old Style" w:eastAsiaTheme="minorEastAsia" w:hAnsi="Bookman Old Style" w:cs="Arial"/>
          <w:b w:val="0"/>
          <w:bCs w:val="0"/>
          <w:color w:val="000000" w:themeColor="text1"/>
          <w:szCs w:val="22"/>
          <w:shd w:val="clear" w:color="auto" w:fill="FFFFFF" w:themeFill="background1"/>
        </w:rPr>
        <w:t>7.37</w:t>
      </w:r>
      <w:r w:rsidRPr="00E709D7">
        <w:rPr>
          <w:rFonts w:ascii="Bookman Old Style" w:eastAsiaTheme="minorEastAsia" w:hAnsi="Bookman Old Style" w:cs="Arial"/>
          <w:b w:val="0"/>
          <w:bCs w:val="0"/>
          <w:color w:val="000000" w:themeColor="text1"/>
          <w:szCs w:val="22"/>
        </w:rPr>
        <w:t xml:space="preserve"> per unit. </w:t>
      </w:r>
    </w:p>
    <w:p w:rsidR="00381ACE" w:rsidRPr="00E709D7" w:rsidRDefault="00381ACE" w:rsidP="00717D3E">
      <w:pPr>
        <w:autoSpaceDE w:val="0"/>
        <w:autoSpaceDN w:val="0"/>
        <w:adjustRightInd w:val="0"/>
        <w:spacing w:after="0" w:line="240" w:lineRule="auto"/>
        <w:ind w:right="67"/>
        <w:rPr>
          <w:rFonts w:cs="Calibri"/>
          <w:color w:val="000000" w:themeColor="text1"/>
          <w:sz w:val="24"/>
          <w:szCs w:val="24"/>
        </w:rPr>
      </w:pPr>
    </w:p>
    <w:p w:rsidR="00D94291" w:rsidRPr="00381ACE" w:rsidRDefault="00381ACE" w:rsidP="006C0863">
      <w:pPr>
        <w:pStyle w:val="BodyText3"/>
        <w:spacing w:line="360" w:lineRule="auto"/>
        <w:ind w:right="67"/>
      </w:pPr>
      <w:r w:rsidRPr="00E709D7">
        <w:rPr>
          <w:rFonts w:ascii="Bookman Old Style" w:eastAsiaTheme="minorEastAsia" w:hAnsi="Bookman Old Style" w:cs="Arial"/>
          <w:b w:val="0"/>
          <w:bCs w:val="0"/>
          <w:color w:val="000000" w:themeColor="text1"/>
          <w:szCs w:val="22"/>
        </w:rPr>
        <w:t>Thus the actual Revenue Gap for FY-</w:t>
      </w:r>
      <w:r>
        <w:rPr>
          <w:rFonts w:ascii="Bookman Old Style" w:eastAsiaTheme="minorEastAsia" w:hAnsi="Bookman Old Style" w:cs="Arial"/>
          <w:b w:val="0"/>
          <w:bCs w:val="0"/>
          <w:color w:val="000000" w:themeColor="text1"/>
          <w:szCs w:val="22"/>
        </w:rPr>
        <w:t>20</w:t>
      </w:r>
      <w:r w:rsidRPr="00E709D7">
        <w:rPr>
          <w:rFonts w:ascii="Bookman Old Style" w:eastAsiaTheme="minorEastAsia" w:hAnsi="Bookman Old Style" w:cs="Arial"/>
          <w:b w:val="0"/>
          <w:bCs w:val="0"/>
          <w:color w:val="000000" w:themeColor="text1"/>
          <w:szCs w:val="22"/>
        </w:rPr>
        <w:t xml:space="preserve"> works out to </w:t>
      </w:r>
      <w:r>
        <w:rPr>
          <w:rFonts w:ascii="Bookman Old Style" w:eastAsiaTheme="minorEastAsia" w:hAnsi="Bookman Old Style" w:cs="Arial"/>
          <w:b w:val="0"/>
          <w:bCs w:val="0"/>
          <w:color w:val="000000" w:themeColor="text1"/>
          <w:szCs w:val="22"/>
        </w:rPr>
        <w:t>deficit</w:t>
      </w:r>
      <w:r w:rsidRPr="00E709D7">
        <w:rPr>
          <w:rFonts w:ascii="Bookman Old Style" w:eastAsiaTheme="minorEastAsia" w:hAnsi="Bookman Old Style" w:cs="Arial"/>
          <w:b w:val="0"/>
          <w:bCs w:val="0"/>
          <w:color w:val="000000" w:themeColor="text1"/>
          <w:szCs w:val="22"/>
        </w:rPr>
        <w:t xml:space="preserve"> of </w:t>
      </w:r>
      <w:r w:rsidRPr="0079478E">
        <w:rPr>
          <w:rFonts w:ascii="Bookman Old Style" w:eastAsiaTheme="minorEastAsia" w:hAnsi="Bookman Old Style" w:cs="Arial"/>
          <w:bCs w:val="0"/>
          <w:szCs w:val="22"/>
        </w:rPr>
        <w:t xml:space="preserve">Rs. </w:t>
      </w:r>
      <w:r w:rsidR="008E175D">
        <w:rPr>
          <w:rFonts w:ascii="Bookman Old Style" w:hAnsi="Bookman Old Style"/>
          <w:sz w:val="20"/>
          <w:szCs w:val="20"/>
          <w:lang w:val="en-IN" w:eastAsia="en-IN"/>
        </w:rPr>
        <w:t>1559.37</w:t>
      </w:r>
      <w:r w:rsidRPr="0079478E">
        <w:rPr>
          <w:rFonts w:ascii="Bookman Old Style" w:hAnsi="Bookman Old Style"/>
          <w:sz w:val="20"/>
          <w:szCs w:val="20"/>
          <w:lang w:val="en-IN" w:eastAsia="en-IN"/>
        </w:rPr>
        <w:t xml:space="preserve"> </w:t>
      </w:r>
      <w:r w:rsidRPr="0079478E">
        <w:rPr>
          <w:rFonts w:ascii="Bookman Old Style" w:eastAsiaTheme="minorEastAsia" w:hAnsi="Bookman Old Style" w:cs="Arial"/>
          <w:bCs w:val="0"/>
          <w:szCs w:val="22"/>
        </w:rPr>
        <w:t>Crs</w:t>
      </w:r>
      <w:r w:rsidRPr="00E709D7">
        <w:rPr>
          <w:rFonts w:ascii="Bookman Old Style" w:eastAsiaTheme="minorEastAsia" w:hAnsi="Bookman Old Style" w:cs="Arial"/>
          <w:bCs w:val="0"/>
          <w:color w:val="000000" w:themeColor="text1"/>
          <w:szCs w:val="22"/>
        </w:rPr>
        <w:t>.</w:t>
      </w:r>
      <w:r w:rsidRPr="00E709D7">
        <w:rPr>
          <w:rFonts w:ascii="Bookman Old Style" w:eastAsiaTheme="minorEastAsia" w:hAnsi="Bookman Old Style" w:cs="Arial"/>
          <w:b w:val="0"/>
          <w:bCs w:val="0"/>
          <w:color w:val="000000" w:themeColor="text1"/>
          <w:szCs w:val="22"/>
        </w:rPr>
        <w:t xml:space="preserve"> BESCOM requests the Hon’ble Commission to allow BESCOM the true up requirement as submitted above. </w:t>
      </w:r>
    </w:p>
    <w:sectPr w:rsidR="00D94291" w:rsidRPr="00381ACE" w:rsidSect="0071396F">
      <w:headerReference w:type="default" r:id="rId13"/>
      <w:footerReference w:type="default" r:id="rId14"/>
      <w:pgSz w:w="11906" w:h="16838"/>
      <w:pgMar w:top="1812" w:right="1133" w:bottom="1276" w:left="1350"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EA" w:rsidRDefault="00A04AEA" w:rsidP="00940D50">
      <w:pPr>
        <w:spacing w:after="0" w:line="240" w:lineRule="auto"/>
      </w:pPr>
      <w:r>
        <w:separator/>
      </w:r>
    </w:p>
  </w:endnote>
  <w:endnote w:type="continuationSeparator" w:id="0">
    <w:p w:rsidR="00A04AEA" w:rsidRDefault="00A04AEA" w:rsidP="0094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38" w:rsidRPr="002A0C41" w:rsidRDefault="00017838" w:rsidP="001A6537">
    <w:pPr>
      <w:pStyle w:val="Footer"/>
      <w:pBdr>
        <w:top w:val="thinThickSmallGap" w:sz="24" w:space="1" w:color="823B0B" w:themeColor="accent2" w:themeShade="7F"/>
      </w:pBdr>
      <w:tabs>
        <w:tab w:val="clear" w:pos="9026"/>
      </w:tabs>
      <w:ind w:right="67"/>
      <w:rPr>
        <w:rFonts w:ascii="Bookman Old Style" w:eastAsiaTheme="majorEastAsia" w:hAnsi="Bookman Old Style" w:cstheme="majorBidi"/>
        <w:sz w:val="20"/>
        <w:szCs w:val="20"/>
      </w:rPr>
    </w:pPr>
    <w:sdt>
      <w:sdtPr>
        <w:rPr>
          <w:rFonts w:ascii="Bookman Old Style" w:eastAsia="Arial" w:hAnsi="Bookman Old Style" w:cs="Arial"/>
          <w:b/>
          <w:bCs/>
          <w:sz w:val="20"/>
          <w:szCs w:val="32"/>
          <w:lang w:val="en-US"/>
        </w:rPr>
        <w:alias w:val="Title"/>
        <w:id w:val="-1638409250"/>
        <w:placeholder>
          <w:docPart w:val="B2F4E83352CC4A218A11E81D85029403"/>
        </w:placeholder>
        <w:dataBinding w:prefixMappings="xmlns:ns0='http://schemas.openxmlformats.org/package/2006/metadata/core-properties' xmlns:ns1='http://purl.org/dc/elements/1.1/'" w:xpath="/ns0:coreProperties[1]/ns1:title[1]" w:storeItemID="{6C3C8BC8-F283-45AE-878A-BAB7291924A1}"/>
        <w:text/>
      </w:sdtPr>
      <w:sdtContent>
        <w:r>
          <w:rPr>
            <w:rFonts w:ascii="Bookman Old Style" w:eastAsia="Arial" w:hAnsi="Bookman Old Style" w:cs="Arial"/>
            <w:b/>
            <w:bCs/>
            <w:sz w:val="20"/>
            <w:szCs w:val="32"/>
          </w:rPr>
          <w:t>TRUING UP FOR FY-20</w:t>
        </w:r>
      </w:sdtContent>
    </w:sdt>
    <w:r w:rsidRPr="002A0C41">
      <w:rPr>
        <w:rFonts w:ascii="Bookman Old Style" w:eastAsiaTheme="majorEastAsia" w:hAnsi="Bookman Old Style" w:cstheme="majorBidi"/>
        <w:sz w:val="20"/>
        <w:szCs w:val="20"/>
      </w:rPr>
      <w:t xml:space="preserve"> </w:t>
    </w:r>
    <w:r w:rsidRPr="002A0C41">
      <w:rPr>
        <w:rFonts w:ascii="Bookman Old Style" w:eastAsiaTheme="majorEastAsia" w:hAnsi="Bookman Old Style" w:cstheme="majorBidi"/>
        <w:sz w:val="20"/>
        <w:szCs w:val="20"/>
      </w:rPr>
      <w:ptab w:relativeTo="margin" w:alignment="right" w:leader="none"/>
    </w:r>
    <w:r w:rsidRPr="002A0C41">
      <w:rPr>
        <w:rFonts w:ascii="Bookman Old Style" w:eastAsiaTheme="majorEastAsia" w:hAnsi="Bookman Old Style" w:cstheme="majorBidi"/>
        <w:sz w:val="20"/>
        <w:szCs w:val="20"/>
      </w:rPr>
      <w:t xml:space="preserve">Page </w:t>
    </w:r>
    <w:r w:rsidRPr="002A0C41">
      <w:rPr>
        <w:rFonts w:ascii="Bookman Old Style" w:eastAsiaTheme="minorEastAsia" w:hAnsi="Bookman Old Style"/>
        <w:sz w:val="20"/>
        <w:szCs w:val="20"/>
      </w:rPr>
      <w:fldChar w:fldCharType="begin"/>
    </w:r>
    <w:r w:rsidRPr="002A0C41">
      <w:rPr>
        <w:rFonts w:ascii="Bookman Old Style" w:hAnsi="Bookman Old Style"/>
        <w:sz w:val="20"/>
        <w:szCs w:val="20"/>
      </w:rPr>
      <w:instrText xml:space="preserve"> PAGE   \* MERGEFORMAT </w:instrText>
    </w:r>
    <w:r w:rsidRPr="002A0C41">
      <w:rPr>
        <w:rFonts w:ascii="Bookman Old Style" w:eastAsiaTheme="minorEastAsia" w:hAnsi="Bookman Old Style"/>
        <w:sz w:val="20"/>
        <w:szCs w:val="20"/>
      </w:rPr>
      <w:fldChar w:fldCharType="separate"/>
    </w:r>
    <w:r w:rsidR="0090309A" w:rsidRPr="0090309A">
      <w:rPr>
        <w:rFonts w:ascii="Bookman Old Style" w:eastAsiaTheme="majorEastAsia" w:hAnsi="Bookman Old Style" w:cstheme="majorBidi"/>
        <w:noProof/>
        <w:sz w:val="20"/>
        <w:szCs w:val="20"/>
      </w:rPr>
      <w:t>39</w:t>
    </w:r>
    <w:r w:rsidRPr="002A0C41">
      <w:rPr>
        <w:rFonts w:ascii="Bookman Old Style" w:eastAsiaTheme="majorEastAsia" w:hAnsi="Bookman Old Style" w:cstheme="majorBidi"/>
        <w:noProof/>
        <w:sz w:val="20"/>
        <w:szCs w:val="20"/>
      </w:rPr>
      <w:fldChar w:fldCharType="end"/>
    </w:r>
  </w:p>
  <w:p w:rsidR="00017838" w:rsidRPr="00115E0E" w:rsidRDefault="00017838" w:rsidP="00115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EA" w:rsidRDefault="00A04AEA" w:rsidP="00940D50">
      <w:pPr>
        <w:spacing w:after="0" w:line="240" w:lineRule="auto"/>
      </w:pPr>
      <w:r>
        <w:separator/>
      </w:r>
    </w:p>
  </w:footnote>
  <w:footnote w:type="continuationSeparator" w:id="0">
    <w:p w:rsidR="00A04AEA" w:rsidRDefault="00A04AEA" w:rsidP="00940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38" w:rsidRPr="00991FB4" w:rsidRDefault="00017838" w:rsidP="00B96143">
    <w:pPr>
      <w:pStyle w:val="Header"/>
      <w:pBdr>
        <w:bottom w:val="thickThinSmallGap" w:sz="24" w:space="0" w:color="823B0B" w:themeColor="accent2" w:themeShade="7F"/>
      </w:pBdr>
      <w:tabs>
        <w:tab w:val="clear" w:pos="4513"/>
        <w:tab w:val="clear" w:pos="9026"/>
      </w:tabs>
      <w:ind w:right="67"/>
      <w:rPr>
        <w:rFonts w:asciiTheme="majorHAnsi" w:eastAsiaTheme="majorEastAsia" w:hAnsiTheme="majorHAnsi" w:cstheme="majorBidi"/>
        <w:sz w:val="32"/>
        <w:szCs w:val="32"/>
      </w:rPr>
    </w:pPr>
    <w:r>
      <w:rPr>
        <w:noProof/>
        <w:lang w:eastAsia="en-IN"/>
      </w:rPr>
      <w:drawing>
        <wp:inline distT="0" distB="0" distL="0" distR="0" wp14:anchorId="2002D9D1" wp14:editId="286AE27F">
          <wp:extent cx="598715" cy="521335"/>
          <wp:effectExtent l="0" t="0" r="0" b="0"/>
          <wp:docPr id="1" name="Picture 1" descr="Image result for bes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sco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760" cy="530082"/>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3543"/>
    <w:multiLevelType w:val="hybridMultilevel"/>
    <w:tmpl w:val="24EE42AA"/>
    <w:lvl w:ilvl="0" w:tplc="C2D8706C">
      <w:start w:val="1"/>
      <w:numFmt w:val="bullet"/>
      <w:lvlText w:val="•"/>
      <w:lvlJc w:val="left"/>
      <w:pPr>
        <w:tabs>
          <w:tab w:val="num" w:pos="720"/>
        </w:tabs>
        <w:ind w:left="720" w:hanging="360"/>
      </w:pPr>
      <w:rPr>
        <w:rFonts w:ascii="Arial" w:hAnsi="Arial" w:hint="default"/>
      </w:rPr>
    </w:lvl>
    <w:lvl w:ilvl="1" w:tplc="79565CBE" w:tentative="1">
      <w:start w:val="1"/>
      <w:numFmt w:val="bullet"/>
      <w:lvlText w:val="•"/>
      <w:lvlJc w:val="left"/>
      <w:pPr>
        <w:tabs>
          <w:tab w:val="num" w:pos="1440"/>
        </w:tabs>
        <w:ind w:left="1440" w:hanging="360"/>
      </w:pPr>
      <w:rPr>
        <w:rFonts w:ascii="Arial" w:hAnsi="Arial" w:hint="default"/>
      </w:rPr>
    </w:lvl>
    <w:lvl w:ilvl="2" w:tplc="4044ECF0" w:tentative="1">
      <w:start w:val="1"/>
      <w:numFmt w:val="bullet"/>
      <w:lvlText w:val="•"/>
      <w:lvlJc w:val="left"/>
      <w:pPr>
        <w:tabs>
          <w:tab w:val="num" w:pos="2160"/>
        </w:tabs>
        <w:ind w:left="2160" w:hanging="360"/>
      </w:pPr>
      <w:rPr>
        <w:rFonts w:ascii="Arial" w:hAnsi="Arial" w:hint="default"/>
      </w:rPr>
    </w:lvl>
    <w:lvl w:ilvl="3" w:tplc="71B8FEE4" w:tentative="1">
      <w:start w:val="1"/>
      <w:numFmt w:val="bullet"/>
      <w:lvlText w:val="•"/>
      <w:lvlJc w:val="left"/>
      <w:pPr>
        <w:tabs>
          <w:tab w:val="num" w:pos="2880"/>
        </w:tabs>
        <w:ind w:left="2880" w:hanging="360"/>
      </w:pPr>
      <w:rPr>
        <w:rFonts w:ascii="Arial" w:hAnsi="Arial" w:hint="default"/>
      </w:rPr>
    </w:lvl>
    <w:lvl w:ilvl="4" w:tplc="1ACED89C" w:tentative="1">
      <w:start w:val="1"/>
      <w:numFmt w:val="bullet"/>
      <w:lvlText w:val="•"/>
      <w:lvlJc w:val="left"/>
      <w:pPr>
        <w:tabs>
          <w:tab w:val="num" w:pos="3600"/>
        </w:tabs>
        <w:ind w:left="3600" w:hanging="360"/>
      </w:pPr>
      <w:rPr>
        <w:rFonts w:ascii="Arial" w:hAnsi="Arial" w:hint="default"/>
      </w:rPr>
    </w:lvl>
    <w:lvl w:ilvl="5" w:tplc="7D2209F0" w:tentative="1">
      <w:start w:val="1"/>
      <w:numFmt w:val="bullet"/>
      <w:lvlText w:val="•"/>
      <w:lvlJc w:val="left"/>
      <w:pPr>
        <w:tabs>
          <w:tab w:val="num" w:pos="4320"/>
        </w:tabs>
        <w:ind w:left="4320" w:hanging="360"/>
      </w:pPr>
      <w:rPr>
        <w:rFonts w:ascii="Arial" w:hAnsi="Arial" w:hint="default"/>
      </w:rPr>
    </w:lvl>
    <w:lvl w:ilvl="6" w:tplc="96941A7A" w:tentative="1">
      <w:start w:val="1"/>
      <w:numFmt w:val="bullet"/>
      <w:lvlText w:val="•"/>
      <w:lvlJc w:val="left"/>
      <w:pPr>
        <w:tabs>
          <w:tab w:val="num" w:pos="5040"/>
        </w:tabs>
        <w:ind w:left="5040" w:hanging="360"/>
      </w:pPr>
      <w:rPr>
        <w:rFonts w:ascii="Arial" w:hAnsi="Arial" w:hint="default"/>
      </w:rPr>
    </w:lvl>
    <w:lvl w:ilvl="7" w:tplc="275C55DC" w:tentative="1">
      <w:start w:val="1"/>
      <w:numFmt w:val="bullet"/>
      <w:lvlText w:val="•"/>
      <w:lvlJc w:val="left"/>
      <w:pPr>
        <w:tabs>
          <w:tab w:val="num" w:pos="5760"/>
        </w:tabs>
        <w:ind w:left="5760" w:hanging="360"/>
      </w:pPr>
      <w:rPr>
        <w:rFonts w:ascii="Arial" w:hAnsi="Arial" w:hint="default"/>
      </w:rPr>
    </w:lvl>
    <w:lvl w:ilvl="8" w:tplc="4D760CF0" w:tentative="1">
      <w:start w:val="1"/>
      <w:numFmt w:val="bullet"/>
      <w:lvlText w:val="•"/>
      <w:lvlJc w:val="left"/>
      <w:pPr>
        <w:tabs>
          <w:tab w:val="num" w:pos="6480"/>
        </w:tabs>
        <w:ind w:left="6480" w:hanging="360"/>
      </w:pPr>
      <w:rPr>
        <w:rFonts w:ascii="Arial" w:hAnsi="Arial" w:hint="default"/>
      </w:rPr>
    </w:lvl>
  </w:abstractNum>
  <w:abstractNum w:abstractNumId="1">
    <w:nsid w:val="16322967"/>
    <w:multiLevelType w:val="hybridMultilevel"/>
    <w:tmpl w:val="37AE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178A3"/>
    <w:multiLevelType w:val="hybridMultilevel"/>
    <w:tmpl w:val="8746E88E"/>
    <w:lvl w:ilvl="0" w:tplc="0E565676">
      <w:start w:val="334"/>
      <w:numFmt w:val="bullet"/>
      <w:lvlText w:val=""/>
      <w:lvlJc w:val="left"/>
      <w:pPr>
        <w:ind w:left="720" w:hanging="360"/>
      </w:pPr>
      <w:rPr>
        <w:rFonts w:ascii="Symbol" w:eastAsiaTheme="minorEastAsia"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B72FC0"/>
    <w:multiLevelType w:val="hybridMultilevel"/>
    <w:tmpl w:val="33E06E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120F3"/>
    <w:multiLevelType w:val="hybridMultilevel"/>
    <w:tmpl w:val="989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64996"/>
    <w:multiLevelType w:val="multilevel"/>
    <w:tmpl w:val="A476B4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3F707F19"/>
    <w:multiLevelType w:val="hybridMultilevel"/>
    <w:tmpl w:val="83C8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B2BD7"/>
    <w:multiLevelType w:val="hybridMultilevel"/>
    <w:tmpl w:val="FF644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861B6"/>
    <w:multiLevelType w:val="hybridMultilevel"/>
    <w:tmpl w:val="A6163EF2"/>
    <w:lvl w:ilvl="0" w:tplc="1F1A72F4">
      <w:start w:val="1"/>
      <w:numFmt w:val="lowerLetter"/>
      <w:lvlText w:val="%1)"/>
      <w:lvlJc w:val="left"/>
      <w:pPr>
        <w:ind w:left="1170" w:hanging="360"/>
      </w:pPr>
      <w:rPr>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76915D4"/>
    <w:multiLevelType w:val="hybridMultilevel"/>
    <w:tmpl w:val="05B8DB58"/>
    <w:lvl w:ilvl="0" w:tplc="381AB0C6">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B960F1"/>
    <w:multiLevelType w:val="multilevel"/>
    <w:tmpl w:val="A02A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4F2E4F"/>
    <w:multiLevelType w:val="hybridMultilevel"/>
    <w:tmpl w:val="97BEB81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79C133A"/>
    <w:multiLevelType w:val="hybridMultilevel"/>
    <w:tmpl w:val="8C3686AE"/>
    <w:lvl w:ilvl="0" w:tplc="ACE2CEDA">
      <w:start w:val="1"/>
      <w:numFmt w:val="lowerRoman"/>
      <w:lvlText w:val="(%1)"/>
      <w:lvlJc w:val="left"/>
      <w:pPr>
        <w:tabs>
          <w:tab w:val="num" w:pos="1440"/>
        </w:tabs>
        <w:ind w:left="1440" w:hanging="720"/>
      </w:pPr>
      <w:rPr>
        <w:rFonts w:hint="default"/>
      </w:rPr>
    </w:lvl>
    <w:lvl w:ilvl="1" w:tplc="42BEE65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62A0C21"/>
    <w:multiLevelType w:val="hybridMultilevel"/>
    <w:tmpl w:val="D51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5"/>
  </w:num>
  <w:num w:numId="5">
    <w:abstractNumId w:val="1"/>
  </w:num>
  <w:num w:numId="6">
    <w:abstractNumId w:val="9"/>
  </w:num>
  <w:num w:numId="7">
    <w:abstractNumId w:val="6"/>
  </w:num>
  <w:num w:numId="8">
    <w:abstractNumId w:val="4"/>
  </w:num>
  <w:num w:numId="9">
    <w:abstractNumId w:val="7"/>
  </w:num>
  <w:num w:numId="10">
    <w:abstractNumId w:val="3"/>
  </w:num>
  <w:num w:numId="11">
    <w:abstractNumId w:val="2"/>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50"/>
    <w:rsid w:val="000016EC"/>
    <w:rsid w:val="00002C73"/>
    <w:rsid w:val="00011375"/>
    <w:rsid w:val="00011D27"/>
    <w:rsid w:val="00012071"/>
    <w:rsid w:val="000138BA"/>
    <w:rsid w:val="000173FC"/>
    <w:rsid w:val="00017838"/>
    <w:rsid w:val="0002358B"/>
    <w:rsid w:val="000238A8"/>
    <w:rsid w:val="000275FA"/>
    <w:rsid w:val="000308FB"/>
    <w:rsid w:val="000368A5"/>
    <w:rsid w:val="000372D9"/>
    <w:rsid w:val="00040828"/>
    <w:rsid w:val="00043DF2"/>
    <w:rsid w:val="000445F0"/>
    <w:rsid w:val="00055EDF"/>
    <w:rsid w:val="00056FD6"/>
    <w:rsid w:val="0005731D"/>
    <w:rsid w:val="000576DB"/>
    <w:rsid w:val="000607FD"/>
    <w:rsid w:val="00072F1A"/>
    <w:rsid w:val="00073D4B"/>
    <w:rsid w:val="000744BB"/>
    <w:rsid w:val="00075663"/>
    <w:rsid w:val="00081763"/>
    <w:rsid w:val="000836A9"/>
    <w:rsid w:val="00085C69"/>
    <w:rsid w:val="000922F3"/>
    <w:rsid w:val="0009261E"/>
    <w:rsid w:val="00092826"/>
    <w:rsid w:val="00092C21"/>
    <w:rsid w:val="000934C7"/>
    <w:rsid w:val="00096037"/>
    <w:rsid w:val="000A1A44"/>
    <w:rsid w:val="000A4878"/>
    <w:rsid w:val="000A53C9"/>
    <w:rsid w:val="000B0E8D"/>
    <w:rsid w:val="000B34B2"/>
    <w:rsid w:val="000B3921"/>
    <w:rsid w:val="000C1327"/>
    <w:rsid w:val="000C1F32"/>
    <w:rsid w:val="000C3695"/>
    <w:rsid w:val="000D5F2C"/>
    <w:rsid w:val="000D6A1D"/>
    <w:rsid w:val="000E1359"/>
    <w:rsid w:val="000E6E3C"/>
    <w:rsid w:val="000F41D2"/>
    <w:rsid w:val="000F63DC"/>
    <w:rsid w:val="000F6DB6"/>
    <w:rsid w:val="0010068A"/>
    <w:rsid w:val="00100D98"/>
    <w:rsid w:val="001052E4"/>
    <w:rsid w:val="00105D52"/>
    <w:rsid w:val="00107AD6"/>
    <w:rsid w:val="001119A1"/>
    <w:rsid w:val="00113867"/>
    <w:rsid w:val="00115E0E"/>
    <w:rsid w:val="001175A1"/>
    <w:rsid w:val="00122F71"/>
    <w:rsid w:val="00132214"/>
    <w:rsid w:val="001336FF"/>
    <w:rsid w:val="00143FFC"/>
    <w:rsid w:val="00146019"/>
    <w:rsid w:val="001506F2"/>
    <w:rsid w:val="0016282E"/>
    <w:rsid w:val="001634C8"/>
    <w:rsid w:val="0016582B"/>
    <w:rsid w:val="00170670"/>
    <w:rsid w:val="0017121F"/>
    <w:rsid w:val="0017435C"/>
    <w:rsid w:val="00175297"/>
    <w:rsid w:val="001764C2"/>
    <w:rsid w:val="0017662C"/>
    <w:rsid w:val="0017752F"/>
    <w:rsid w:val="001867CD"/>
    <w:rsid w:val="00187AE0"/>
    <w:rsid w:val="00191A6C"/>
    <w:rsid w:val="00192E18"/>
    <w:rsid w:val="0019689D"/>
    <w:rsid w:val="001A6537"/>
    <w:rsid w:val="001B0409"/>
    <w:rsid w:val="001B0F94"/>
    <w:rsid w:val="001B4EE1"/>
    <w:rsid w:val="001B5199"/>
    <w:rsid w:val="001C55E8"/>
    <w:rsid w:val="001D3EB7"/>
    <w:rsid w:val="001D5584"/>
    <w:rsid w:val="001D66C2"/>
    <w:rsid w:val="001E4F4B"/>
    <w:rsid w:val="001F06A0"/>
    <w:rsid w:val="001F0DC3"/>
    <w:rsid w:val="0020003F"/>
    <w:rsid w:val="002002C9"/>
    <w:rsid w:val="00203821"/>
    <w:rsid w:val="00203F68"/>
    <w:rsid w:val="00205119"/>
    <w:rsid w:val="002067DF"/>
    <w:rsid w:val="00211996"/>
    <w:rsid w:val="00213832"/>
    <w:rsid w:val="002236B0"/>
    <w:rsid w:val="00225008"/>
    <w:rsid w:val="00236A19"/>
    <w:rsid w:val="0024545C"/>
    <w:rsid w:val="00245D47"/>
    <w:rsid w:val="00261BBF"/>
    <w:rsid w:val="0026605B"/>
    <w:rsid w:val="002704BA"/>
    <w:rsid w:val="00273378"/>
    <w:rsid w:val="00273E71"/>
    <w:rsid w:val="00274169"/>
    <w:rsid w:val="0027602B"/>
    <w:rsid w:val="00277D71"/>
    <w:rsid w:val="002807A2"/>
    <w:rsid w:val="00281130"/>
    <w:rsid w:val="0028515D"/>
    <w:rsid w:val="002851B1"/>
    <w:rsid w:val="002879BB"/>
    <w:rsid w:val="00294D91"/>
    <w:rsid w:val="00294DAD"/>
    <w:rsid w:val="002A0C41"/>
    <w:rsid w:val="002A64E4"/>
    <w:rsid w:val="002A797F"/>
    <w:rsid w:val="002B0621"/>
    <w:rsid w:val="002B06F5"/>
    <w:rsid w:val="002B6FF4"/>
    <w:rsid w:val="002C3835"/>
    <w:rsid w:val="002D0D27"/>
    <w:rsid w:val="002D3B21"/>
    <w:rsid w:val="002D4710"/>
    <w:rsid w:val="002D6DFE"/>
    <w:rsid w:val="002D7E67"/>
    <w:rsid w:val="002E1394"/>
    <w:rsid w:val="002E313C"/>
    <w:rsid w:val="002E34DB"/>
    <w:rsid w:val="002E55C2"/>
    <w:rsid w:val="002E78DC"/>
    <w:rsid w:val="002F0E46"/>
    <w:rsid w:val="002F2DF4"/>
    <w:rsid w:val="002F5023"/>
    <w:rsid w:val="00312669"/>
    <w:rsid w:val="0031342B"/>
    <w:rsid w:val="003142CE"/>
    <w:rsid w:val="00316EA8"/>
    <w:rsid w:val="0031740D"/>
    <w:rsid w:val="00321D19"/>
    <w:rsid w:val="0032315C"/>
    <w:rsid w:val="00323F61"/>
    <w:rsid w:val="00323F6C"/>
    <w:rsid w:val="003241E6"/>
    <w:rsid w:val="003245A2"/>
    <w:rsid w:val="003264BE"/>
    <w:rsid w:val="003312C4"/>
    <w:rsid w:val="00332F51"/>
    <w:rsid w:val="0033491E"/>
    <w:rsid w:val="00337006"/>
    <w:rsid w:val="003411D8"/>
    <w:rsid w:val="003447B2"/>
    <w:rsid w:val="003454E2"/>
    <w:rsid w:val="0035099A"/>
    <w:rsid w:val="00353C84"/>
    <w:rsid w:val="0035467F"/>
    <w:rsid w:val="0035470E"/>
    <w:rsid w:val="003624DB"/>
    <w:rsid w:val="00365981"/>
    <w:rsid w:val="0036636A"/>
    <w:rsid w:val="003677C9"/>
    <w:rsid w:val="003701FD"/>
    <w:rsid w:val="00381ACE"/>
    <w:rsid w:val="00383F55"/>
    <w:rsid w:val="00384C8E"/>
    <w:rsid w:val="00394016"/>
    <w:rsid w:val="003951CE"/>
    <w:rsid w:val="003A357B"/>
    <w:rsid w:val="003A3661"/>
    <w:rsid w:val="003A41E5"/>
    <w:rsid w:val="003A49A3"/>
    <w:rsid w:val="003A656D"/>
    <w:rsid w:val="003B1BA5"/>
    <w:rsid w:val="003C15AC"/>
    <w:rsid w:val="003C4C95"/>
    <w:rsid w:val="003C531D"/>
    <w:rsid w:val="003C57C5"/>
    <w:rsid w:val="003D3893"/>
    <w:rsid w:val="003D3ACD"/>
    <w:rsid w:val="003D726D"/>
    <w:rsid w:val="003E1758"/>
    <w:rsid w:val="003E4D21"/>
    <w:rsid w:val="003E7C72"/>
    <w:rsid w:val="003F316D"/>
    <w:rsid w:val="003F6B84"/>
    <w:rsid w:val="00402936"/>
    <w:rsid w:val="004072CF"/>
    <w:rsid w:val="004105EB"/>
    <w:rsid w:val="00412230"/>
    <w:rsid w:val="004123CB"/>
    <w:rsid w:val="0041322D"/>
    <w:rsid w:val="004143D6"/>
    <w:rsid w:val="0042408C"/>
    <w:rsid w:val="00424DBE"/>
    <w:rsid w:val="004304E5"/>
    <w:rsid w:val="00431F78"/>
    <w:rsid w:val="004357A0"/>
    <w:rsid w:val="00435B4B"/>
    <w:rsid w:val="0043662E"/>
    <w:rsid w:val="00441444"/>
    <w:rsid w:val="0044283C"/>
    <w:rsid w:val="004437B7"/>
    <w:rsid w:val="0044611D"/>
    <w:rsid w:val="004462A2"/>
    <w:rsid w:val="00454183"/>
    <w:rsid w:val="00457F31"/>
    <w:rsid w:val="00457F40"/>
    <w:rsid w:val="00460485"/>
    <w:rsid w:val="00474F84"/>
    <w:rsid w:val="00481FAB"/>
    <w:rsid w:val="004834C0"/>
    <w:rsid w:val="004862CB"/>
    <w:rsid w:val="00487BA9"/>
    <w:rsid w:val="004A0E36"/>
    <w:rsid w:val="004A11FB"/>
    <w:rsid w:val="004A2DD2"/>
    <w:rsid w:val="004A6156"/>
    <w:rsid w:val="004B4FAD"/>
    <w:rsid w:val="004D2832"/>
    <w:rsid w:val="004D36E9"/>
    <w:rsid w:val="004D37A3"/>
    <w:rsid w:val="004F1177"/>
    <w:rsid w:val="004F2A20"/>
    <w:rsid w:val="004F755F"/>
    <w:rsid w:val="00500A70"/>
    <w:rsid w:val="0050200F"/>
    <w:rsid w:val="00511A4B"/>
    <w:rsid w:val="00522324"/>
    <w:rsid w:val="00522D15"/>
    <w:rsid w:val="00523F80"/>
    <w:rsid w:val="00527826"/>
    <w:rsid w:val="005328D1"/>
    <w:rsid w:val="0053558D"/>
    <w:rsid w:val="00536C3E"/>
    <w:rsid w:val="005374B2"/>
    <w:rsid w:val="00550F92"/>
    <w:rsid w:val="005644FD"/>
    <w:rsid w:val="005665AC"/>
    <w:rsid w:val="00567993"/>
    <w:rsid w:val="00570822"/>
    <w:rsid w:val="00572FAC"/>
    <w:rsid w:val="00573189"/>
    <w:rsid w:val="005748D0"/>
    <w:rsid w:val="00583516"/>
    <w:rsid w:val="00584425"/>
    <w:rsid w:val="005850F6"/>
    <w:rsid w:val="00586227"/>
    <w:rsid w:val="005866AC"/>
    <w:rsid w:val="005917A4"/>
    <w:rsid w:val="00595790"/>
    <w:rsid w:val="005A0EA1"/>
    <w:rsid w:val="005A3AC8"/>
    <w:rsid w:val="005A3EB0"/>
    <w:rsid w:val="005A5E0D"/>
    <w:rsid w:val="005A70A3"/>
    <w:rsid w:val="005A7992"/>
    <w:rsid w:val="005B3C2B"/>
    <w:rsid w:val="005B4D30"/>
    <w:rsid w:val="005B51BA"/>
    <w:rsid w:val="005B59AD"/>
    <w:rsid w:val="005B5AFD"/>
    <w:rsid w:val="005C2626"/>
    <w:rsid w:val="005C3257"/>
    <w:rsid w:val="005C3AA0"/>
    <w:rsid w:val="005C6A8D"/>
    <w:rsid w:val="005D1F59"/>
    <w:rsid w:val="005D262F"/>
    <w:rsid w:val="005D5BC4"/>
    <w:rsid w:val="005D6363"/>
    <w:rsid w:val="005D78AF"/>
    <w:rsid w:val="005E1072"/>
    <w:rsid w:val="005E122B"/>
    <w:rsid w:val="005E22D6"/>
    <w:rsid w:val="005E4ED0"/>
    <w:rsid w:val="005E6471"/>
    <w:rsid w:val="005F6668"/>
    <w:rsid w:val="00602324"/>
    <w:rsid w:val="0060504B"/>
    <w:rsid w:val="00610A2D"/>
    <w:rsid w:val="006141B3"/>
    <w:rsid w:val="00616927"/>
    <w:rsid w:val="0062478C"/>
    <w:rsid w:val="00625343"/>
    <w:rsid w:val="0063038C"/>
    <w:rsid w:val="00633A42"/>
    <w:rsid w:val="00636731"/>
    <w:rsid w:val="00637614"/>
    <w:rsid w:val="00646A00"/>
    <w:rsid w:val="00652513"/>
    <w:rsid w:val="006537C6"/>
    <w:rsid w:val="00653F44"/>
    <w:rsid w:val="0066167A"/>
    <w:rsid w:val="00661BAD"/>
    <w:rsid w:val="00661DC9"/>
    <w:rsid w:val="0066369C"/>
    <w:rsid w:val="0067070C"/>
    <w:rsid w:val="0067773D"/>
    <w:rsid w:val="00680CB8"/>
    <w:rsid w:val="0068707F"/>
    <w:rsid w:val="0068725E"/>
    <w:rsid w:val="00687853"/>
    <w:rsid w:val="00695539"/>
    <w:rsid w:val="006A18B7"/>
    <w:rsid w:val="006A4B61"/>
    <w:rsid w:val="006A50BC"/>
    <w:rsid w:val="006A600C"/>
    <w:rsid w:val="006B053C"/>
    <w:rsid w:val="006B169A"/>
    <w:rsid w:val="006B3BF6"/>
    <w:rsid w:val="006C0863"/>
    <w:rsid w:val="006C2F33"/>
    <w:rsid w:val="006C6742"/>
    <w:rsid w:val="006C68BC"/>
    <w:rsid w:val="006D1408"/>
    <w:rsid w:val="006D5172"/>
    <w:rsid w:val="006E153A"/>
    <w:rsid w:val="006E374E"/>
    <w:rsid w:val="006E4138"/>
    <w:rsid w:val="006E7F1D"/>
    <w:rsid w:val="006F1AA8"/>
    <w:rsid w:val="006F4DA5"/>
    <w:rsid w:val="00702CCA"/>
    <w:rsid w:val="007068F9"/>
    <w:rsid w:val="0071396F"/>
    <w:rsid w:val="00713C46"/>
    <w:rsid w:val="007169E2"/>
    <w:rsid w:val="00717D3E"/>
    <w:rsid w:val="007203E4"/>
    <w:rsid w:val="007273E7"/>
    <w:rsid w:val="007301DE"/>
    <w:rsid w:val="007344EF"/>
    <w:rsid w:val="00734FB6"/>
    <w:rsid w:val="00736426"/>
    <w:rsid w:val="007453B3"/>
    <w:rsid w:val="007504A0"/>
    <w:rsid w:val="007666A0"/>
    <w:rsid w:val="0076738E"/>
    <w:rsid w:val="00771E05"/>
    <w:rsid w:val="007757FD"/>
    <w:rsid w:val="00776B50"/>
    <w:rsid w:val="00777D04"/>
    <w:rsid w:val="00780E11"/>
    <w:rsid w:val="007816B2"/>
    <w:rsid w:val="00781735"/>
    <w:rsid w:val="00785157"/>
    <w:rsid w:val="00793A8D"/>
    <w:rsid w:val="00793F14"/>
    <w:rsid w:val="007947C5"/>
    <w:rsid w:val="0079677B"/>
    <w:rsid w:val="0079760F"/>
    <w:rsid w:val="007A0BBB"/>
    <w:rsid w:val="007A5517"/>
    <w:rsid w:val="007B28D9"/>
    <w:rsid w:val="007B32CF"/>
    <w:rsid w:val="007B3706"/>
    <w:rsid w:val="007B5B17"/>
    <w:rsid w:val="007C10D0"/>
    <w:rsid w:val="007C139B"/>
    <w:rsid w:val="007C1616"/>
    <w:rsid w:val="007C2D76"/>
    <w:rsid w:val="007C5DAD"/>
    <w:rsid w:val="007C627B"/>
    <w:rsid w:val="007C6BA9"/>
    <w:rsid w:val="007D0AC3"/>
    <w:rsid w:val="007D2175"/>
    <w:rsid w:val="007D31C3"/>
    <w:rsid w:val="007D4C49"/>
    <w:rsid w:val="007E3CF1"/>
    <w:rsid w:val="007E5931"/>
    <w:rsid w:val="007E6A63"/>
    <w:rsid w:val="007E7125"/>
    <w:rsid w:val="007F052B"/>
    <w:rsid w:val="007F6771"/>
    <w:rsid w:val="008035B0"/>
    <w:rsid w:val="008038FC"/>
    <w:rsid w:val="00805582"/>
    <w:rsid w:val="00805FD9"/>
    <w:rsid w:val="00806101"/>
    <w:rsid w:val="0081646D"/>
    <w:rsid w:val="00820AB7"/>
    <w:rsid w:val="00820B6E"/>
    <w:rsid w:val="008235D9"/>
    <w:rsid w:val="00824BAD"/>
    <w:rsid w:val="00825264"/>
    <w:rsid w:val="0082596A"/>
    <w:rsid w:val="0083524F"/>
    <w:rsid w:val="008445A5"/>
    <w:rsid w:val="00845C95"/>
    <w:rsid w:val="00847423"/>
    <w:rsid w:val="00847856"/>
    <w:rsid w:val="00865FA2"/>
    <w:rsid w:val="0087119C"/>
    <w:rsid w:val="008719E0"/>
    <w:rsid w:val="008731B0"/>
    <w:rsid w:val="00873730"/>
    <w:rsid w:val="0087717A"/>
    <w:rsid w:val="0088149A"/>
    <w:rsid w:val="0088481E"/>
    <w:rsid w:val="00885012"/>
    <w:rsid w:val="008B005F"/>
    <w:rsid w:val="008B0A50"/>
    <w:rsid w:val="008B3463"/>
    <w:rsid w:val="008B391E"/>
    <w:rsid w:val="008B405C"/>
    <w:rsid w:val="008B70CF"/>
    <w:rsid w:val="008C1EF8"/>
    <w:rsid w:val="008C21BE"/>
    <w:rsid w:val="008C3DA0"/>
    <w:rsid w:val="008C7272"/>
    <w:rsid w:val="008D17E2"/>
    <w:rsid w:val="008D387D"/>
    <w:rsid w:val="008D4B03"/>
    <w:rsid w:val="008E175D"/>
    <w:rsid w:val="008F2552"/>
    <w:rsid w:val="008F3CBB"/>
    <w:rsid w:val="008F563F"/>
    <w:rsid w:val="008F63EC"/>
    <w:rsid w:val="0090309A"/>
    <w:rsid w:val="00910F67"/>
    <w:rsid w:val="009147AC"/>
    <w:rsid w:val="00916DB3"/>
    <w:rsid w:val="00926786"/>
    <w:rsid w:val="00940D50"/>
    <w:rsid w:val="00940EA6"/>
    <w:rsid w:val="00942BAF"/>
    <w:rsid w:val="0094728A"/>
    <w:rsid w:val="00947C07"/>
    <w:rsid w:val="00947D46"/>
    <w:rsid w:val="00953EDA"/>
    <w:rsid w:val="00961E91"/>
    <w:rsid w:val="00962974"/>
    <w:rsid w:val="00966276"/>
    <w:rsid w:val="00980959"/>
    <w:rsid w:val="009831BB"/>
    <w:rsid w:val="00984F8D"/>
    <w:rsid w:val="0098596E"/>
    <w:rsid w:val="00985FBC"/>
    <w:rsid w:val="009903F7"/>
    <w:rsid w:val="00991FB4"/>
    <w:rsid w:val="00991FB5"/>
    <w:rsid w:val="009A0483"/>
    <w:rsid w:val="009A2818"/>
    <w:rsid w:val="009A314A"/>
    <w:rsid w:val="009A4A2C"/>
    <w:rsid w:val="009A4C4C"/>
    <w:rsid w:val="009B0360"/>
    <w:rsid w:val="009B36B4"/>
    <w:rsid w:val="009B39F8"/>
    <w:rsid w:val="009B3D68"/>
    <w:rsid w:val="009B68A0"/>
    <w:rsid w:val="009C263C"/>
    <w:rsid w:val="009C6F7D"/>
    <w:rsid w:val="009D0AF5"/>
    <w:rsid w:val="009D1757"/>
    <w:rsid w:val="009D1EFA"/>
    <w:rsid w:val="009D42A8"/>
    <w:rsid w:val="009D502A"/>
    <w:rsid w:val="009D6F98"/>
    <w:rsid w:val="009E1027"/>
    <w:rsid w:val="009E36D5"/>
    <w:rsid w:val="009E43D1"/>
    <w:rsid w:val="009E7605"/>
    <w:rsid w:val="009F14E7"/>
    <w:rsid w:val="009F7F0C"/>
    <w:rsid w:val="00A04AEA"/>
    <w:rsid w:val="00A127D6"/>
    <w:rsid w:val="00A15DCE"/>
    <w:rsid w:val="00A20CC8"/>
    <w:rsid w:val="00A22FD2"/>
    <w:rsid w:val="00A37905"/>
    <w:rsid w:val="00A42061"/>
    <w:rsid w:val="00A448F7"/>
    <w:rsid w:val="00A4546D"/>
    <w:rsid w:val="00A46CB2"/>
    <w:rsid w:val="00A5375E"/>
    <w:rsid w:val="00A53E05"/>
    <w:rsid w:val="00A54A3C"/>
    <w:rsid w:val="00A61830"/>
    <w:rsid w:val="00A63230"/>
    <w:rsid w:val="00A65C92"/>
    <w:rsid w:val="00A67DF4"/>
    <w:rsid w:val="00A80544"/>
    <w:rsid w:val="00A844A9"/>
    <w:rsid w:val="00A85229"/>
    <w:rsid w:val="00A9167A"/>
    <w:rsid w:val="00A95EA4"/>
    <w:rsid w:val="00A969B8"/>
    <w:rsid w:val="00A96C70"/>
    <w:rsid w:val="00AA0C07"/>
    <w:rsid w:val="00AA709A"/>
    <w:rsid w:val="00AA709E"/>
    <w:rsid w:val="00AB7BBE"/>
    <w:rsid w:val="00AC3157"/>
    <w:rsid w:val="00AC36F1"/>
    <w:rsid w:val="00AC71DB"/>
    <w:rsid w:val="00AE097F"/>
    <w:rsid w:val="00AE251F"/>
    <w:rsid w:val="00AE3CF3"/>
    <w:rsid w:val="00AE50E4"/>
    <w:rsid w:val="00AE5474"/>
    <w:rsid w:val="00AE5844"/>
    <w:rsid w:val="00AE6DD5"/>
    <w:rsid w:val="00AF15F1"/>
    <w:rsid w:val="00B0377D"/>
    <w:rsid w:val="00B07975"/>
    <w:rsid w:val="00B1172A"/>
    <w:rsid w:val="00B1464A"/>
    <w:rsid w:val="00B153F9"/>
    <w:rsid w:val="00B21E78"/>
    <w:rsid w:val="00B24733"/>
    <w:rsid w:val="00B24F7B"/>
    <w:rsid w:val="00B30885"/>
    <w:rsid w:val="00B30FEA"/>
    <w:rsid w:val="00B31B87"/>
    <w:rsid w:val="00B36DDF"/>
    <w:rsid w:val="00B522CD"/>
    <w:rsid w:val="00B57B8B"/>
    <w:rsid w:val="00B60027"/>
    <w:rsid w:val="00B638B1"/>
    <w:rsid w:val="00B66233"/>
    <w:rsid w:val="00B71B0C"/>
    <w:rsid w:val="00B72306"/>
    <w:rsid w:val="00B8549D"/>
    <w:rsid w:val="00B91815"/>
    <w:rsid w:val="00B96143"/>
    <w:rsid w:val="00BA0F6B"/>
    <w:rsid w:val="00BA32A8"/>
    <w:rsid w:val="00BA5825"/>
    <w:rsid w:val="00BA6AFF"/>
    <w:rsid w:val="00BB09B0"/>
    <w:rsid w:val="00BB2C0D"/>
    <w:rsid w:val="00BB410E"/>
    <w:rsid w:val="00BB5443"/>
    <w:rsid w:val="00BB6ECC"/>
    <w:rsid w:val="00BB7048"/>
    <w:rsid w:val="00BC07FE"/>
    <w:rsid w:val="00BC2A66"/>
    <w:rsid w:val="00BC2B25"/>
    <w:rsid w:val="00BC6409"/>
    <w:rsid w:val="00BC7C25"/>
    <w:rsid w:val="00BD10B9"/>
    <w:rsid w:val="00BD1270"/>
    <w:rsid w:val="00BD7749"/>
    <w:rsid w:val="00BD77E2"/>
    <w:rsid w:val="00BE327B"/>
    <w:rsid w:val="00BE6E4E"/>
    <w:rsid w:val="00BF3233"/>
    <w:rsid w:val="00C0493B"/>
    <w:rsid w:val="00C06116"/>
    <w:rsid w:val="00C0714E"/>
    <w:rsid w:val="00C10B29"/>
    <w:rsid w:val="00C110E1"/>
    <w:rsid w:val="00C1148F"/>
    <w:rsid w:val="00C20DFB"/>
    <w:rsid w:val="00C274BD"/>
    <w:rsid w:val="00C278B7"/>
    <w:rsid w:val="00C31E95"/>
    <w:rsid w:val="00C3510F"/>
    <w:rsid w:val="00C35717"/>
    <w:rsid w:val="00C415B0"/>
    <w:rsid w:val="00C42516"/>
    <w:rsid w:val="00C43269"/>
    <w:rsid w:val="00C476D6"/>
    <w:rsid w:val="00C5724A"/>
    <w:rsid w:val="00C57F03"/>
    <w:rsid w:val="00C70E3D"/>
    <w:rsid w:val="00C756A3"/>
    <w:rsid w:val="00C761DE"/>
    <w:rsid w:val="00C816FA"/>
    <w:rsid w:val="00C8204A"/>
    <w:rsid w:val="00C825B6"/>
    <w:rsid w:val="00C84F37"/>
    <w:rsid w:val="00C8693A"/>
    <w:rsid w:val="00C929C1"/>
    <w:rsid w:val="00C94215"/>
    <w:rsid w:val="00C94625"/>
    <w:rsid w:val="00CA1A5B"/>
    <w:rsid w:val="00CA1F66"/>
    <w:rsid w:val="00CA619B"/>
    <w:rsid w:val="00CA77D8"/>
    <w:rsid w:val="00CB4B37"/>
    <w:rsid w:val="00CB7ADA"/>
    <w:rsid w:val="00CD3B7D"/>
    <w:rsid w:val="00CD3E3D"/>
    <w:rsid w:val="00CE5E5C"/>
    <w:rsid w:val="00CF1A00"/>
    <w:rsid w:val="00CF4E28"/>
    <w:rsid w:val="00CF631C"/>
    <w:rsid w:val="00D00E5E"/>
    <w:rsid w:val="00D01603"/>
    <w:rsid w:val="00D06520"/>
    <w:rsid w:val="00D1177B"/>
    <w:rsid w:val="00D117FE"/>
    <w:rsid w:val="00D1249F"/>
    <w:rsid w:val="00D22373"/>
    <w:rsid w:val="00D24C28"/>
    <w:rsid w:val="00D3203C"/>
    <w:rsid w:val="00D346C2"/>
    <w:rsid w:val="00D361A1"/>
    <w:rsid w:val="00D44578"/>
    <w:rsid w:val="00D46AF4"/>
    <w:rsid w:val="00D50F9D"/>
    <w:rsid w:val="00D521C1"/>
    <w:rsid w:val="00D53BE5"/>
    <w:rsid w:val="00D60E0F"/>
    <w:rsid w:val="00D638B9"/>
    <w:rsid w:val="00D64EA6"/>
    <w:rsid w:val="00D70070"/>
    <w:rsid w:val="00D714A4"/>
    <w:rsid w:val="00D71A08"/>
    <w:rsid w:val="00D75453"/>
    <w:rsid w:val="00D778B1"/>
    <w:rsid w:val="00D832FF"/>
    <w:rsid w:val="00D837FC"/>
    <w:rsid w:val="00D849F0"/>
    <w:rsid w:val="00D852CC"/>
    <w:rsid w:val="00D91AD8"/>
    <w:rsid w:val="00D94291"/>
    <w:rsid w:val="00D96E56"/>
    <w:rsid w:val="00DA778A"/>
    <w:rsid w:val="00DA7B22"/>
    <w:rsid w:val="00DB0E5D"/>
    <w:rsid w:val="00DB26B4"/>
    <w:rsid w:val="00DB3BD3"/>
    <w:rsid w:val="00DB3E9B"/>
    <w:rsid w:val="00DB4ECF"/>
    <w:rsid w:val="00DC2827"/>
    <w:rsid w:val="00DD0760"/>
    <w:rsid w:val="00DD5E81"/>
    <w:rsid w:val="00DE15F0"/>
    <w:rsid w:val="00DE744B"/>
    <w:rsid w:val="00DE7D83"/>
    <w:rsid w:val="00DF0399"/>
    <w:rsid w:val="00DF13FF"/>
    <w:rsid w:val="00DF4E6A"/>
    <w:rsid w:val="00DF521F"/>
    <w:rsid w:val="00E01697"/>
    <w:rsid w:val="00E01FBA"/>
    <w:rsid w:val="00E03904"/>
    <w:rsid w:val="00E06160"/>
    <w:rsid w:val="00E139D2"/>
    <w:rsid w:val="00E14CE5"/>
    <w:rsid w:val="00E170B9"/>
    <w:rsid w:val="00E238F8"/>
    <w:rsid w:val="00E247C7"/>
    <w:rsid w:val="00E253BF"/>
    <w:rsid w:val="00E36387"/>
    <w:rsid w:val="00E414B9"/>
    <w:rsid w:val="00E417B3"/>
    <w:rsid w:val="00E42DFF"/>
    <w:rsid w:val="00E449CB"/>
    <w:rsid w:val="00E51053"/>
    <w:rsid w:val="00E5203C"/>
    <w:rsid w:val="00E60AAE"/>
    <w:rsid w:val="00E635FB"/>
    <w:rsid w:val="00E648CB"/>
    <w:rsid w:val="00E719BA"/>
    <w:rsid w:val="00E71ECA"/>
    <w:rsid w:val="00E7453D"/>
    <w:rsid w:val="00E7591D"/>
    <w:rsid w:val="00E8050C"/>
    <w:rsid w:val="00E810D2"/>
    <w:rsid w:val="00E82BEF"/>
    <w:rsid w:val="00E84351"/>
    <w:rsid w:val="00E85457"/>
    <w:rsid w:val="00E85CCA"/>
    <w:rsid w:val="00E90B92"/>
    <w:rsid w:val="00E925AB"/>
    <w:rsid w:val="00E93FBE"/>
    <w:rsid w:val="00E9722E"/>
    <w:rsid w:val="00EA03CD"/>
    <w:rsid w:val="00EA6C60"/>
    <w:rsid w:val="00EB0D07"/>
    <w:rsid w:val="00EB3DBD"/>
    <w:rsid w:val="00EB59E1"/>
    <w:rsid w:val="00EB68EF"/>
    <w:rsid w:val="00EB6E74"/>
    <w:rsid w:val="00EC4F56"/>
    <w:rsid w:val="00EC7449"/>
    <w:rsid w:val="00ED0B5A"/>
    <w:rsid w:val="00ED1CAA"/>
    <w:rsid w:val="00ED6B63"/>
    <w:rsid w:val="00EE3973"/>
    <w:rsid w:val="00EF0A26"/>
    <w:rsid w:val="00EF15E5"/>
    <w:rsid w:val="00EF3400"/>
    <w:rsid w:val="00F0305E"/>
    <w:rsid w:val="00F07E1E"/>
    <w:rsid w:val="00F15B09"/>
    <w:rsid w:val="00F43036"/>
    <w:rsid w:val="00F469A5"/>
    <w:rsid w:val="00F47AB1"/>
    <w:rsid w:val="00F52F9F"/>
    <w:rsid w:val="00F555D1"/>
    <w:rsid w:val="00F56AC9"/>
    <w:rsid w:val="00F57C11"/>
    <w:rsid w:val="00F617C4"/>
    <w:rsid w:val="00F61DC7"/>
    <w:rsid w:val="00F66566"/>
    <w:rsid w:val="00F66D2C"/>
    <w:rsid w:val="00F72C6E"/>
    <w:rsid w:val="00F749AA"/>
    <w:rsid w:val="00F8457B"/>
    <w:rsid w:val="00F86E71"/>
    <w:rsid w:val="00F8732D"/>
    <w:rsid w:val="00F909DD"/>
    <w:rsid w:val="00F922EF"/>
    <w:rsid w:val="00F956A9"/>
    <w:rsid w:val="00FA06AD"/>
    <w:rsid w:val="00FA1219"/>
    <w:rsid w:val="00FA1253"/>
    <w:rsid w:val="00FA1B00"/>
    <w:rsid w:val="00FA7591"/>
    <w:rsid w:val="00FB100F"/>
    <w:rsid w:val="00FB1445"/>
    <w:rsid w:val="00FB3E26"/>
    <w:rsid w:val="00FB7053"/>
    <w:rsid w:val="00FC0D9A"/>
    <w:rsid w:val="00FC302C"/>
    <w:rsid w:val="00FD10F2"/>
    <w:rsid w:val="00FD2668"/>
    <w:rsid w:val="00FD3985"/>
    <w:rsid w:val="00FD480E"/>
    <w:rsid w:val="00FE2394"/>
    <w:rsid w:val="00FE4F0C"/>
    <w:rsid w:val="00FE6907"/>
    <w:rsid w:val="00FF0F5B"/>
    <w:rsid w:val="00FF19FD"/>
    <w:rsid w:val="00FF67B9"/>
    <w:rsid w:val="00FF6CB0"/>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B7"/>
  </w:style>
  <w:style w:type="paragraph" w:styleId="Heading1">
    <w:name w:val="heading 1"/>
    <w:aliases w:val="Section"/>
    <w:basedOn w:val="Normal"/>
    <w:link w:val="Heading1Char"/>
    <w:qFormat/>
    <w:rsid w:val="00940D50"/>
    <w:pPr>
      <w:widowControl w:val="0"/>
      <w:spacing w:before="49" w:after="0" w:line="240" w:lineRule="auto"/>
      <w:ind w:left="2940" w:hanging="444"/>
      <w:outlineLvl w:val="0"/>
    </w:pPr>
    <w:rPr>
      <w:rFonts w:ascii="Arial" w:eastAsia="Arial" w:hAnsi="Arial" w:cs="Arial"/>
      <w:b/>
      <w:bCs/>
      <w:sz w:val="40"/>
      <w:szCs w:val="40"/>
      <w:lang w:val="en-US"/>
    </w:rPr>
  </w:style>
  <w:style w:type="paragraph" w:styleId="Heading2">
    <w:name w:val="heading 2"/>
    <w:aliases w:val="Major"/>
    <w:basedOn w:val="Normal"/>
    <w:next w:val="Normal"/>
    <w:link w:val="Heading2Char"/>
    <w:unhideWhenUsed/>
    <w:qFormat/>
    <w:rsid w:val="00C278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94291"/>
    <w:pPr>
      <w:keepNext/>
      <w:spacing w:after="0" w:line="240" w:lineRule="auto"/>
      <w:outlineLvl w:val="2"/>
    </w:pPr>
    <w:rPr>
      <w:rFonts w:ascii="Century Gothic" w:eastAsia="Times New Roman" w:hAnsi="Century Gothic" w:cs="Arial"/>
      <w:b/>
      <w:bCs/>
      <w:szCs w:val="20"/>
      <w:lang w:val="en-US"/>
    </w:rPr>
  </w:style>
  <w:style w:type="paragraph" w:styleId="Heading4">
    <w:name w:val="heading 4"/>
    <w:basedOn w:val="Normal"/>
    <w:next w:val="Normal"/>
    <w:link w:val="Heading4Char"/>
    <w:unhideWhenUsed/>
    <w:qFormat/>
    <w:rsid w:val="005917A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D94291"/>
    <w:pPr>
      <w:keepNext/>
      <w:spacing w:after="0" w:line="360" w:lineRule="auto"/>
      <w:jc w:val="center"/>
      <w:outlineLvl w:val="4"/>
    </w:pPr>
    <w:rPr>
      <w:rFonts w:ascii="Century Gothic" w:eastAsia="Times New Roman" w:hAnsi="Century Gothic" w:cs="Times New Roman"/>
      <w:b/>
      <w:bCs/>
      <w:szCs w:val="24"/>
      <w:lang w:val="en-US"/>
    </w:rPr>
  </w:style>
  <w:style w:type="paragraph" w:styleId="Heading6">
    <w:name w:val="heading 6"/>
    <w:basedOn w:val="Normal"/>
    <w:next w:val="Normal"/>
    <w:link w:val="Heading6Char"/>
    <w:qFormat/>
    <w:rsid w:val="00D94291"/>
    <w:pPr>
      <w:keepNext/>
      <w:spacing w:after="0" w:line="360" w:lineRule="auto"/>
      <w:ind w:left="499" w:firstLine="720"/>
      <w:jc w:val="center"/>
      <w:outlineLvl w:val="5"/>
    </w:pPr>
    <w:rPr>
      <w:rFonts w:ascii="Century Gothic" w:eastAsia="Times New Roman" w:hAnsi="Century Gothic" w:cs="Times New Roman"/>
      <w:b/>
      <w:bCs/>
      <w:lang w:val="en-US"/>
    </w:rPr>
  </w:style>
  <w:style w:type="paragraph" w:styleId="Heading7">
    <w:name w:val="heading 7"/>
    <w:basedOn w:val="Normal"/>
    <w:next w:val="Normal"/>
    <w:link w:val="Heading7Char"/>
    <w:qFormat/>
    <w:rsid w:val="00D94291"/>
    <w:pPr>
      <w:keepNext/>
      <w:widowControl w:val="0"/>
      <w:autoSpaceDE w:val="0"/>
      <w:autoSpaceDN w:val="0"/>
      <w:adjustRightInd w:val="0"/>
      <w:spacing w:after="0" w:line="359" w:lineRule="auto"/>
      <w:ind w:left="720"/>
      <w:jc w:val="center"/>
      <w:outlineLvl w:val="6"/>
    </w:pPr>
    <w:rPr>
      <w:rFonts w:ascii="Century Gothic" w:eastAsia="Times New Roman" w:hAnsi="Century Gothic" w:cs="Times New Roman"/>
      <w:b/>
      <w:bCs/>
      <w:szCs w:val="23"/>
      <w:lang w:val="en-US"/>
    </w:rPr>
  </w:style>
  <w:style w:type="paragraph" w:styleId="Heading8">
    <w:name w:val="heading 8"/>
    <w:basedOn w:val="Normal"/>
    <w:next w:val="Normal"/>
    <w:link w:val="Heading8Char"/>
    <w:qFormat/>
    <w:rsid w:val="00D94291"/>
    <w:pPr>
      <w:keepNext/>
      <w:spacing w:after="0" w:line="360" w:lineRule="auto"/>
      <w:ind w:left="360"/>
      <w:jc w:val="center"/>
      <w:outlineLvl w:val="7"/>
    </w:pPr>
    <w:rPr>
      <w:rFonts w:ascii="Century Gothic" w:eastAsia="Times New Roman" w:hAnsi="Century Gothic" w:cs="Times New Roman"/>
      <w:b/>
      <w:bCs/>
      <w:lang w:val="en-US"/>
    </w:rPr>
  </w:style>
  <w:style w:type="paragraph" w:styleId="Heading9">
    <w:name w:val="heading 9"/>
    <w:basedOn w:val="Normal"/>
    <w:next w:val="Normal"/>
    <w:link w:val="Heading9Char"/>
    <w:qFormat/>
    <w:rsid w:val="00D94291"/>
    <w:pPr>
      <w:keepNext/>
      <w:widowControl w:val="0"/>
      <w:autoSpaceDE w:val="0"/>
      <w:autoSpaceDN w:val="0"/>
      <w:adjustRightInd w:val="0"/>
      <w:spacing w:before="8" w:after="0" w:line="274" w:lineRule="exact"/>
      <w:ind w:left="720" w:right="1260"/>
      <w:jc w:val="center"/>
      <w:outlineLvl w:val="8"/>
    </w:pPr>
    <w:rPr>
      <w:rFonts w:ascii="Century Gothic" w:eastAsia="Times New Roman" w:hAnsi="Century Gothic" w:cs="Times New Roman"/>
      <w:b/>
      <w:bCs/>
      <w:position w:val="-1"/>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940D50"/>
    <w:rPr>
      <w:rFonts w:ascii="Arial" w:eastAsia="Arial" w:hAnsi="Arial" w:cs="Arial"/>
      <w:b/>
      <w:bCs/>
      <w:sz w:val="40"/>
      <w:szCs w:val="40"/>
      <w:lang w:val="en-US"/>
    </w:rPr>
  </w:style>
  <w:style w:type="character" w:customStyle="1" w:styleId="Heading2Char">
    <w:name w:val="Heading 2 Char"/>
    <w:aliases w:val="Major Char"/>
    <w:basedOn w:val="DefaultParagraphFont"/>
    <w:link w:val="Heading2"/>
    <w:rsid w:val="00C278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D94291"/>
    <w:rPr>
      <w:rFonts w:ascii="Century Gothic" w:eastAsia="Times New Roman" w:hAnsi="Century Gothic" w:cs="Arial"/>
      <w:b/>
      <w:bCs/>
      <w:szCs w:val="20"/>
      <w:lang w:val="en-US"/>
    </w:rPr>
  </w:style>
  <w:style w:type="character" w:customStyle="1" w:styleId="Heading4Char">
    <w:name w:val="Heading 4 Char"/>
    <w:basedOn w:val="DefaultParagraphFont"/>
    <w:link w:val="Heading4"/>
    <w:rsid w:val="005917A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D94291"/>
    <w:rPr>
      <w:rFonts w:ascii="Century Gothic" w:eastAsia="Times New Roman" w:hAnsi="Century Gothic" w:cs="Times New Roman"/>
      <w:b/>
      <w:bCs/>
      <w:szCs w:val="24"/>
      <w:lang w:val="en-US"/>
    </w:rPr>
  </w:style>
  <w:style w:type="character" w:customStyle="1" w:styleId="Heading6Char">
    <w:name w:val="Heading 6 Char"/>
    <w:basedOn w:val="DefaultParagraphFont"/>
    <w:link w:val="Heading6"/>
    <w:rsid w:val="00D94291"/>
    <w:rPr>
      <w:rFonts w:ascii="Century Gothic" w:eastAsia="Times New Roman" w:hAnsi="Century Gothic" w:cs="Times New Roman"/>
      <w:b/>
      <w:bCs/>
      <w:lang w:val="en-US"/>
    </w:rPr>
  </w:style>
  <w:style w:type="character" w:customStyle="1" w:styleId="Heading7Char">
    <w:name w:val="Heading 7 Char"/>
    <w:basedOn w:val="DefaultParagraphFont"/>
    <w:link w:val="Heading7"/>
    <w:rsid w:val="00D94291"/>
    <w:rPr>
      <w:rFonts w:ascii="Century Gothic" w:eastAsia="Times New Roman" w:hAnsi="Century Gothic" w:cs="Times New Roman"/>
      <w:b/>
      <w:bCs/>
      <w:szCs w:val="23"/>
      <w:lang w:val="en-US"/>
    </w:rPr>
  </w:style>
  <w:style w:type="character" w:customStyle="1" w:styleId="Heading8Char">
    <w:name w:val="Heading 8 Char"/>
    <w:basedOn w:val="DefaultParagraphFont"/>
    <w:link w:val="Heading8"/>
    <w:rsid w:val="00D94291"/>
    <w:rPr>
      <w:rFonts w:ascii="Century Gothic" w:eastAsia="Times New Roman" w:hAnsi="Century Gothic" w:cs="Times New Roman"/>
      <w:b/>
      <w:bCs/>
      <w:lang w:val="en-US"/>
    </w:rPr>
  </w:style>
  <w:style w:type="character" w:customStyle="1" w:styleId="Heading9Char">
    <w:name w:val="Heading 9 Char"/>
    <w:basedOn w:val="DefaultParagraphFont"/>
    <w:link w:val="Heading9"/>
    <w:rsid w:val="00D94291"/>
    <w:rPr>
      <w:rFonts w:ascii="Century Gothic" w:eastAsia="Times New Roman" w:hAnsi="Century Gothic" w:cs="Times New Roman"/>
      <w:b/>
      <w:bCs/>
      <w:position w:val="-1"/>
      <w:szCs w:val="23"/>
      <w:lang w:val="en-US"/>
    </w:rPr>
  </w:style>
  <w:style w:type="paragraph" w:styleId="BodyText">
    <w:name w:val="Body Text"/>
    <w:basedOn w:val="Normal"/>
    <w:link w:val="BodyTextChar"/>
    <w:qFormat/>
    <w:rsid w:val="00940D50"/>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rsid w:val="00940D50"/>
    <w:rPr>
      <w:rFonts w:ascii="Arial" w:eastAsia="Arial" w:hAnsi="Arial" w:cs="Arial"/>
      <w:lang w:val="en-US"/>
    </w:rPr>
  </w:style>
  <w:style w:type="paragraph" w:styleId="Header">
    <w:name w:val="header"/>
    <w:basedOn w:val="Normal"/>
    <w:link w:val="HeaderChar"/>
    <w:uiPriority w:val="99"/>
    <w:unhideWhenUsed/>
    <w:rsid w:val="006D5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172"/>
  </w:style>
  <w:style w:type="paragraph" w:styleId="Footer">
    <w:name w:val="footer"/>
    <w:basedOn w:val="Normal"/>
    <w:link w:val="FooterChar"/>
    <w:uiPriority w:val="99"/>
    <w:unhideWhenUsed/>
    <w:rsid w:val="006D5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172"/>
  </w:style>
  <w:style w:type="paragraph" w:styleId="BalloonText">
    <w:name w:val="Balloon Text"/>
    <w:basedOn w:val="Normal"/>
    <w:link w:val="BalloonTextChar"/>
    <w:uiPriority w:val="99"/>
    <w:semiHidden/>
    <w:unhideWhenUsed/>
    <w:rsid w:val="0010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98"/>
    <w:rPr>
      <w:rFonts w:ascii="Tahoma" w:hAnsi="Tahoma" w:cs="Tahoma"/>
      <w:sz w:val="16"/>
      <w:szCs w:val="16"/>
    </w:rPr>
  </w:style>
  <w:style w:type="table" w:styleId="MediumGrid1-Accent2">
    <w:name w:val="Medium Grid 1 Accent 2"/>
    <w:basedOn w:val="TableNormal"/>
    <w:uiPriority w:val="67"/>
    <w:rsid w:val="008C7272"/>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PageNumber">
    <w:name w:val="page number"/>
    <w:basedOn w:val="DefaultParagraphFont"/>
    <w:semiHidden/>
    <w:rsid w:val="00A448F7"/>
  </w:style>
  <w:style w:type="paragraph" w:customStyle="1" w:styleId="yiv736783227msonormal">
    <w:name w:val="yiv736783227msonormal"/>
    <w:basedOn w:val="Normal"/>
    <w:rsid w:val="00321D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link w:val="SubtitleChar"/>
    <w:qFormat/>
    <w:rsid w:val="00C278B7"/>
    <w:pPr>
      <w:spacing w:after="0" w:line="240" w:lineRule="auto"/>
      <w:ind w:right="360"/>
      <w:jc w:val="center"/>
    </w:pPr>
    <w:rPr>
      <w:rFonts w:ascii="Century Gothic" w:eastAsia="Times New Roman" w:hAnsi="Century Gothic" w:cs="Times New Roman"/>
      <w:b/>
      <w:bCs/>
      <w:szCs w:val="24"/>
      <w:u w:val="single"/>
      <w:lang w:val="en-US"/>
    </w:rPr>
  </w:style>
  <w:style w:type="character" w:customStyle="1" w:styleId="SubtitleChar">
    <w:name w:val="Subtitle Char"/>
    <w:basedOn w:val="DefaultParagraphFont"/>
    <w:link w:val="Subtitle"/>
    <w:rsid w:val="00C278B7"/>
    <w:rPr>
      <w:rFonts w:ascii="Century Gothic" w:eastAsia="Times New Roman" w:hAnsi="Century Gothic" w:cs="Times New Roman"/>
      <w:b/>
      <w:bCs/>
      <w:szCs w:val="24"/>
      <w:u w:val="single"/>
      <w:lang w:val="en-US"/>
    </w:rPr>
  </w:style>
  <w:style w:type="paragraph" w:styleId="BodyTextIndent3">
    <w:name w:val="Body Text Indent 3"/>
    <w:basedOn w:val="Normal"/>
    <w:link w:val="BodyTextIndent3Char"/>
    <w:semiHidden/>
    <w:unhideWhenUsed/>
    <w:rsid w:val="005917A4"/>
    <w:pPr>
      <w:spacing w:after="120"/>
      <w:ind w:left="283"/>
    </w:pPr>
    <w:rPr>
      <w:sz w:val="16"/>
      <w:szCs w:val="16"/>
    </w:rPr>
  </w:style>
  <w:style w:type="character" w:customStyle="1" w:styleId="BodyTextIndent3Char">
    <w:name w:val="Body Text Indent 3 Char"/>
    <w:basedOn w:val="DefaultParagraphFont"/>
    <w:link w:val="BodyTextIndent3"/>
    <w:semiHidden/>
    <w:rsid w:val="005917A4"/>
    <w:rPr>
      <w:sz w:val="16"/>
      <w:szCs w:val="16"/>
    </w:rPr>
  </w:style>
  <w:style w:type="paragraph" w:customStyle="1" w:styleId="yiv332964982msonormal">
    <w:name w:val="yiv332964982msonormal"/>
    <w:basedOn w:val="Normal"/>
    <w:rsid w:val="00D9429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yiv332964982grame">
    <w:name w:val="yiv332964982grame"/>
    <w:basedOn w:val="DefaultParagraphFont"/>
    <w:rsid w:val="00D94291"/>
  </w:style>
  <w:style w:type="character" w:customStyle="1" w:styleId="yiv332964982spelle">
    <w:name w:val="yiv332964982spelle"/>
    <w:basedOn w:val="DefaultParagraphFont"/>
    <w:rsid w:val="00D94291"/>
  </w:style>
  <w:style w:type="paragraph" w:styleId="NoSpacing">
    <w:name w:val="No Spacing"/>
    <w:uiPriority w:val="1"/>
    <w:qFormat/>
    <w:rsid w:val="00D94291"/>
    <w:pPr>
      <w:spacing w:after="0" w:line="240" w:lineRule="auto"/>
    </w:pPr>
    <w:rPr>
      <w:rFonts w:ascii="Calibri" w:eastAsia="Times New Roman" w:hAnsi="Calibri" w:cs="Times New Roman"/>
      <w:lang w:val="en-US"/>
    </w:rPr>
  </w:style>
  <w:style w:type="paragraph" w:customStyle="1" w:styleId="yiv1716040557msonormal">
    <w:name w:val="yiv1716040557msonormal"/>
    <w:basedOn w:val="Normal"/>
    <w:rsid w:val="00D942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736783227grame">
    <w:name w:val="yiv736783227grame"/>
    <w:basedOn w:val="DefaultParagraphFont"/>
    <w:rsid w:val="00D94291"/>
  </w:style>
  <w:style w:type="paragraph" w:customStyle="1" w:styleId="yiv736783227nospacing">
    <w:name w:val="yiv736783227nospacing"/>
    <w:basedOn w:val="Normal"/>
    <w:rsid w:val="00D942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94291"/>
    <w:rPr>
      <w:color w:val="0000FF"/>
      <w:u w:val="single"/>
    </w:rPr>
  </w:style>
  <w:style w:type="paragraph" w:customStyle="1" w:styleId="yiv1621730620msonormal">
    <w:name w:val="yiv1621730620msonormal"/>
    <w:basedOn w:val="Normal"/>
    <w:rsid w:val="00D942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1621730620nospacing">
    <w:name w:val="yiv1621730620nospacing"/>
    <w:basedOn w:val="Normal"/>
    <w:rsid w:val="00D942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D94291"/>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D94291"/>
    <w:rPr>
      <w:rFonts w:ascii="Times New Roman" w:eastAsia="Times New Roman" w:hAnsi="Times New Roman" w:cs="Times New Roman"/>
      <w:b/>
      <w:bCs/>
      <w:sz w:val="24"/>
      <w:szCs w:val="24"/>
      <w:lang w:val="en-US"/>
    </w:rPr>
  </w:style>
  <w:style w:type="character" w:customStyle="1" w:styleId="BodyTextIndent2Char">
    <w:name w:val="Body Text Indent 2 Char"/>
    <w:basedOn w:val="DefaultParagraphFont"/>
    <w:link w:val="BodyTextIndent2"/>
    <w:semiHidden/>
    <w:rsid w:val="00D94291"/>
    <w:rPr>
      <w:rFonts w:ascii="Century Gothic" w:eastAsia="Times New Roman" w:hAnsi="Century Gothic" w:cs="Times New Roman"/>
      <w:szCs w:val="24"/>
      <w:lang w:val="en-GB"/>
    </w:rPr>
  </w:style>
  <w:style w:type="paragraph" w:styleId="BodyTextIndent2">
    <w:name w:val="Body Text Indent 2"/>
    <w:basedOn w:val="Normal"/>
    <w:link w:val="BodyTextIndent2Char"/>
    <w:semiHidden/>
    <w:rsid w:val="00D94291"/>
    <w:pPr>
      <w:spacing w:before="120" w:after="120" w:line="312" w:lineRule="auto"/>
      <w:ind w:left="720"/>
      <w:jc w:val="both"/>
    </w:pPr>
    <w:rPr>
      <w:rFonts w:ascii="Century Gothic" w:eastAsia="Times New Roman" w:hAnsi="Century Gothic" w:cs="Times New Roman"/>
      <w:szCs w:val="24"/>
      <w:lang w:val="en-GB"/>
    </w:rPr>
  </w:style>
  <w:style w:type="paragraph" w:styleId="FootnoteText">
    <w:name w:val="footnote text"/>
    <w:basedOn w:val="Normal"/>
    <w:link w:val="FootnoteTextChar"/>
    <w:semiHidden/>
    <w:rsid w:val="00D94291"/>
    <w:pPr>
      <w:spacing w:after="0" w:line="240" w:lineRule="auto"/>
    </w:pPr>
    <w:rPr>
      <w:rFonts w:ascii="Century Gothic" w:eastAsia="Times New Roman" w:hAnsi="Century Gothic" w:cs="Times New Roman"/>
      <w:sz w:val="20"/>
      <w:szCs w:val="20"/>
      <w:lang w:val="en-GB"/>
    </w:rPr>
  </w:style>
  <w:style w:type="character" w:customStyle="1" w:styleId="FootnoteTextChar">
    <w:name w:val="Footnote Text Char"/>
    <w:basedOn w:val="DefaultParagraphFont"/>
    <w:link w:val="FootnoteText"/>
    <w:semiHidden/>
    <w:rsid w:val="00D94291"/>
    <w:rPr>
      <w:rFonts w:ascii="Century Gothic" w:eastAsia="Times New Roman" w:hAnsi="Century Gothic" w:cs="Times New Roman"/>
      <w:sz w:val="20"/>
      <w:szCs w:val="20"/>
      <w:lang w:val="en-GB"/>
    </w:rPr>
  </w:style>
  <w:style w:type="paragraph" w:styleId="BodyTextIndent">
    <w:name w:val="Body Text Indent"/>
    <w:basedOn w:val="Normal"/>
    <w:link w:val="BodyTextIndentChar"/>
    <w:semiHidden/>
    <w:rsid w:val="00D94291"/>
    <w:pPr>
      <w:spacing w:after="0" w:line="360" w:lineRule="auto"/>
      <w:ind w:left="720"/>
      <w:jc w:val="both"/>
    </w:pPr>
    <w:rPr>
      <w:rFonts w:ascii="Century Gothic" w:eastAsia="Times New Roman" w:hAnsi="Century Gothic" w:cs="Times New Roman"/>
      <w:color w:val="FF0000"/>
      <w:szCs w:val="24"/>
      <w:lang w:val="en-US"/>
    </w:rPr>
  </w:style>
  <w:style w:type="character" w:customStyle="1" w:styleId="BodyTextIndentChar">
    <w:name w:val="Body Text Indent Char"/>
    <w:basedOn w:val="DefaultParagraphFont"/>
    <w:link w:val="BodyTextIndent"/>
    <w:semiHidden/>
    <w:rsid w:val="00D94291"/>
    <w:rPr>
      <w:rFonts w:ascii="Century Gothic" w:eastAsia="Times New Roman" w:hAnsi="Century Gothic" w:cs="Times New Roman"/>
      <w:color w:val="FF0000"/>
      <w:szCs w:val="24"/>
      <w:lang w:val="en-US"/>
    </w:rPr>
  </w:style>
  <w:style w:type="paragraph" w:customStyle="1" w:styleId="Default">
    <w:name w:val="Default"/>
    <w:rsid w:val="00D94291"/>
    <w:pPr>
      <w:autoSpaceDE w:val="0"/>
      <w:autoSpaceDN w:val="0"/>
      <w:adjustRightInd w:val="0"/>
      <w:spacing w:after="0" w:line="240" w:lineRule="auto"/>
    </w:pPr>
    <w:rPr>
      <w:rFonts w:ascii="Bookman Old Style" w:eastAsia="Times New Roman" w:hAnsi="Bookman Old Style" w:cs="Times New Roman"/>
      <w:color w:val="000000"/>
      <w:sz w:val="24"/>
      <w:szCs w:val="24"/>
      <w:lang w:val="en-US"/>
    </w:rPr>
  </w:style>
  <w:style w:type="character" w:customStyle="1" w:styleId="BodyText2Char">
    <w:name w:val="Body Text 2 Char"/>
    <w:basedOn w:val="DefaultParagraphFont"/>
    <w:link w:val="BodyText2"/>
    <w:semiHidden/>
    <w:rsid w:val="00D94291"/>
    <w:rPr>
      <w:rFonts w:ascii="Times New Roman" w:eastAsia="Times New Roman" w:hAnsi="Times New Roman" w:cs="Times New Roman"/>
      <w:sz w:val="28"/>
      <w:szCs w:val="28"/>
      <w:lang w:val="en-US"/>
    </w:rPr>
  </w:style>
  <w:style w:type="paragraph" w:styleId="BodyText2">
    <w:name w:val="Body Text 2"/>
    <w:basedOn w:val="Normal"/>
    <w:link w:val="BodyText2Char"/>
    <w:semiHidden/>
    <w:rsid w:val="00D94291"/>
    <w:pPr>
      <w:spacing w:after="0" w:line="360" w:lineRule="auto"/>
    </w:pPr>
    <w:rPr>
      <w:rFonts w:ascii="Times New Roman" w:eastAsia="Times New Roman" w:hAnsi="Times New Roman" w:cs="Times New Roman"/>
      <w:sz w:val="28"/>
      <w:szCs w:val="28"/>
      <w:lang w:val="en-US"/>
    </w:rPr>
  </w:style>
  <w:style w:type="paragraph" w:styleId="Caption">
    <w:name w:val="caption"/>
    <w:basedOn w:val="Normal"/>
    <w:next w:val="Normal"/>
    <w:qFormat/>
    <w:rsid w:val="00D94291"/>
    <w:pPr>
      <w:spacing w:after="0" w:line="240" w:lineRule="auto"/>
      <w:jc w:val="both"/>
    </w:pPr>
    <w:rPr>
      <w:rFonts w:ascii="Century Gothic" w:eastAsia="Times New Roman" w:hAnsi="Century Gothic" w:cs="Times New Roman"/>
      <w:b/>
      <w:bCs/>
      <w:sz w:val="16"/>
      <w:szCs w:val="24"/>
      <w:lang w:val="en-US"/>
    </w:rPr>
  </w:style>
  <w:style w:type="paragraph" w:styleId="BodyText3">
    <w:name w:val="Body Text 3"/>
    <w:basedOn w:val="Normal"/>
    <w:link w:val="BodyText3Char"/>
    <w:semiHidden/>
    <w:rsid w:val="00D94291"/>
    <w:pPr>
      <w:spacing w:after="0" w:line="240" w:lineRule="auto"/>
      <w:jc w:val="both"/>
    </w:pPr>
    <w:rPr>
      <w:rFonts w:ascii="Century Gothic" w:eastAsia="Times New Roman" w:hAnsi="Century Gothic" w:cs="Times New Roman"/>
      <w:b/>
      <w:bCs/>
      <w:szCs w:val="24"/>
      <w:lang w:val="en-US"/>
    </w:rPr>
  </w:style>
  <w:style w:type="character" w:customStyle="1" w:styleId="BodyText3Char">
    <w:name w:val="Body Text 3 Char"/>
    <w:basedOn w:val="DefaultParagraphFont"/>
    <w:link w:val="BodyText3"/>
    <w:semiHidden/>
    <w:rsid w:val="00D94291"/>
    <w:rPr>
      <w:rFonts w:ascii="Century Gothic" w:eastAsia="Times New Roman" w:hAnsi="Century Gothic" w:cs="Times New Roman"/>
      <w:b/>
      <w:bCs/>
      <w:szCs w:val="24"/>
      <w:lang w:val="en-US"/>
    </w:rPr>
  </w:style>
  <w:style w:type="paragraph" w:styleId="ListBullet">
    <w:name w:val="List Bullet"/>
    <w:basedOn w:val="Normal"/>
    <w:autoRedefine/>
    <w:semiHidden/>
    <w:rsid w:val="00D94291"/>
    <w:pPr>
      <w:tabs>
        <w:tab w:val="num" w:pos="720"/>
      </w:tabs>
      <w:spacing w:before="120" w:after="0" w:line="360" w:lineRule="auto"/>
      <w:ind w:left="720" w:hanging="360"/>
      <w:jc w:val="both"/>
    </w:pPr>
    <w:rPr>
      <w:rFonts w:ascii="Times New Roman" w:eastAsia="Times New Roman" w:hAnsi="Times New Roman" w:cs="Times New Roman"/>
      <w:szCs w:val="20"/>
      <w:lang w:val="en-US"/>
    </w:rPr>
  </w:style>
  <w:style w:type="paragraph" w:customStyle="1" w:styleId="font5">
    <w:name w:val="font5"/>
    <w:basedOn w:val="Normal"/>
    <w:rsid w:val="00D94291"/>
    <w:pPr>
      <w:spacing w:before="100" w:beforeAutospacing="1" w:after="100" w:afterAutospacing="1" w:line="240" w:lineRule="auto"/>
    </w:pPr>
    <w:rPr>
      <w:rFonts w:ascii="Tahoma" w:eastAsia="Arial Unicode MS" w:hAnsi="Tahoma" w:cs="Tahoma"/>
      <w:b/>
      <w:bCs/>
      <w:color w:val="000000"/>
      <w:sz w:val="16"/>
      <w:szCs w:val="16"/>
      <w:lang w:val="en-US"/>
    </w:rPr>
  </w:style>
  <w:style w:type="paragraph" w:customStyle="1" w:styleId="font6">
    <w:name w:val="font6"/>
    <w:basedOn w:val="Normal"/>
    <w:rsid w:val="00D94291"/>
    <w:pPr>
      <w:spacing w:before="100" w:beforeAutospacing="1" w:after="100" w:afterAutospacing="1" w:line="240" w:lineRule="auto"/>
    </w:pPr>
    <w:rPr>
      <w:rFonts w:ascii="Tahoma" w:eastAsia="Arial Unicode MS" w:hAnsi="Tahoma" w:cs="Tahoma"/>
      <w:color w:val="000000"/>
      <w:sz w:val="16"/>
      <w:szCs w:val="16"/>
      <w:lang w:val="en-US"/>
    </w:rPr>
  </w:style>
  <w:style w:type="paragraph" w:customStyle="1" w:styleId="xl25">
    <w:name w:val="xl25"/>
    <w:basedOn w:val="Normal"/>
    <w:rsid w:val="00D9429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26">
    <w:name w:val="xl26"/>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27">
    <w:name w:val="xl27"/>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28">
    <w:name w:val="xl28"/>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29">
    <w:name w:val="xl29"/>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lang w:val="en-US"/>
    </w:rPr>
  </w:style>
  <w:style w:type="paragraph" w:customStyle="1" w:styleId="xl30">
    <w:name w:val="xl30"/>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Arial Unicode MS" w:hAnsi="Century Gothic" w:cs="Arial Unicode MS"/>
      <w:b/>
      <w:bCs/>
      <w:sz w:val="24"/>
      <w:szCs w:val="24"/>
      <w:lang w:val="en-US"/>
    </w:rPr>
  </w:style>
  <w:style w:type="paragraph" w:customStyle="1" w:styleId="xl31">
    <w:name w:val="xl31"/>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Arial Unicode MS" w:hAnsi="Century Gothic" w:cs="Arial Unicode MS"/>
      <w:sz w:val="24"/>
      <w:szCs w:val="24"/>
      <w:lang w:val="en-US"/>
    </w:rPr>
  </w:style>
  <w:style w:type="paragraph" w:customStyle="1" w:styleId="xl32">
    <w:name w:val="xl32"/>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33">
    <w:name w:val="xl33"/>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34">
    <w:name w:val="xl34"/>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lang w:val="en-US"/>
    </w:rPr>
  </w:style>
  <w:style w:type="paragraph" w:customStyle="1" w:styleId="xl35">
    <w:name w:val="xl35"/>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b/>
      <w:bCs/>
      <w:sz w:val="24"/>
      <w:szCs w:val="24"/>
      <w:lang w:val="en-US"/>
    </w:rPr>
  </w:style>
  <w:style w:type="paragraph" w:customStyle="1" w:styleId="xl36">
    <w:name w:val="xl36"/>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37">
    <w:name w:val="xl37"/>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38">
    <w:name w:val="xl38"/>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lang w:val="en-US"/>
    </w:rPr>
  </w:style>
  <w:style w:type="paragraph" w:customStyle="1" w:styleId="xl39">
    <w:name w:val="xl39"/>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40">
    <w:name w:val="xl40"/>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lang w:val="en-US"/>
    </w:rPr>
  </w:style>
  <w:style w:type="paragraph" w:customStyle="1" w:styleId="xl41">
    <w:name w:val="xl41"/>
    <w:basedOn w:val="Normal"/>
    <w:rsid w:val="00D9429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lang w:val="en-US"/>
    </w:rPr>
  </w:style>
  <w:style w:type="paragraph" w:customStyle="1" w:styleId="xl42">
    <w:name w:val="xl42"/>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b/>
      <w:bCs/>
      <w:sz w:val="24"/>
      <w:szCs w:val="24"/>
      <w:lang w:val="en-US"/>
    </w:rPr>
  </w:style>
  <w:style w:type="paragraph" w:customStyle="1" w:styleId="xl43">
    <w:name w:val="xl43"/>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44">
    <w:name w:val="xl44"/>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Arial Unicode MS" w:hAnsi="Century Gothic" w:cs="Arial Unicode MS"/>
      <w:b/>
      <w:bCs/>
      <w:sz w:val="24"/>
      <w:szCs w:val="24"/>
      <w:lang w:val="en-US"/>
    </w:rPr>
  </w:style>
  <w:style w:type="paragraph" w:customStyle="1" w:styleId="xl45">
    <w:name w:val="xl45"/>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entury Gothic" w:eastAsia="Arial Unicode MS" w:hAnsi="Century Gothic" w:cs="Arial Unicode MS"/>
      <w:b/>
      <w:bCs/>
      <w:sz w:val="24"/>
      <w:szCs w:val="24"/>
      <w:lang w:val="en-US"/>
    </w:rPr>
  </w:style>
  <w:style w:type="paragraph" w:customStyle="1" w:styleId="xl46">
    <w:name w:val="xl46"/>
    <w:basedOn w:val="Normal"/>
    <w:rsid w:val="00D942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lang w:val="en-US"/>
    </w:rPr>
  </w:style>
  <w:style w:type="paragraph" w:styleId="ListParagraph">
    <w:name w:val="List Paragraph"/>
    <w:basedOn w:val="Normal"/>
    <w:uiPriority w:val="1"/>
    <w:qFormat/>
    <w:rsid w:val="00D94291"/>
    <w:pPr>
      <w:spacing w:after="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59"/>
    <w:rsid w:val="00D9429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D94291"/>
    <w:pPr>
      <w:spacing w:before="100" w:beforeAutospacing="1" w:after="100" w:afterAutospacing="1" w:line="240" w:lineRule="auto"/>
    </w:pPr>
    <w:rPr>
      <w:rFonts w:ascii="Times New Roman" w:eastAsia="Times New Roman" w:hAnsi="Times New Roman" w:cs="Times New Roman"/>
      <w:color w:val="336600"/>
      <w:sz w:val="24"/>
      <w:szCs w:val="24"/>
      <w:lang w:val="en-US"/>
    </w:rPr>
  </w:style>
  <w:style w:type="character" w:customStyle="1" w:styleId="bolded-txt">
    <w:name w:val="bolded-txt"/>
    <w:basedOn w:val="DefaultParagraphFont"/>
    <w:rsid w:val="00D94291"/>
  </w:style>
  <w:style w:type="character" w:customStyle="1" w:styleId="apple-converted-space">
    <w:name w:val="apple-converted-space"/>
    <w:basedOn w:val="DefaultParagraphFont"/>
    <w:rsid w:val="00D94291"/>
  </w:style>
  <w:style w:type="paragraph" w:customStyle="1" w:styleId="TableParagraph">
    <w:name w:val="Table Paragraph"/>
    <w:basedOn w:val="Normal"/>
    <w:uiPriority w:val="1"/>
    <w:qFormat/>
    <w:rsid w:val="00D94291"/>
    <w:pPr>
      <w:widowControl w:val="0"/>
      <w:spacing w:after="0" w:line="240" w:lineRule="auto"/>
    </w:pPr>
    <w:rPr>
      <w:rFonts w:ascii="Century Gothic" w:eastAsia="Century Gothic" w:hAnsi="Century Gothic" w:cs="Century Gothic"/>
      <w:lang w:val="en-US"/>
    </w:rPr>
  </w:style>
  <w:style w:type="paragraph" w:styleId="BlockText">
    <w:name w:val="Block Text"/>
    <w:basedOn w:val="Normal"/>
    <w:semiHidden/>
    <w:rsid w:val="008235D9"/>
    <w:pPr>
      <w:widowControl w:val="0"/>
      <w:tabs>
        <w:tab w:val="left" w:pos="8640"/>
      </w:tabs>
      <w:autoSpaceDE w:val="0"/>
      <w:autoSpaceDN w:val="0"/>
      <w:adjustRightInd w:val="0"/>
      <w:spacing w:after="0" w:line="240" w:lineRule="auto"/>
      <w:ind w:left="480" w:right="7774"/>
      <w:jc w:val="both"/>
    </w:pPr>
    <w:rPr>
      <w:rFonts w:ascii="Century Gothic" w:eastAsia="Times New Roman" w:hAnsi="Century Gothic" w:cs="Times New Roman"/>
      <w:b/>
      <w:bCs/>
      <w:spacing w:val="1"/>
      <w:sz w:val="24"/>
      <w:szCs w:val="23"/>
      <w:lang w:val="en-US"/>
    </w:rPr>
  </w:style>
  <w:style w:type="table" w:customStyle="1" w:styleId="Style1">
    <w:name w:val="Style1"/>
    <w:basedOn w:val="TableNormal"/>
    <w:uiPriority w:val="99"/>
    <w:rsid w:val="008235D9"/>
    <w:pPr>
      <w:spacing w:after="0" w:line="240" w:lineRule="auto"/>
    </w:pPr>
    <w:rPr>
      <w:rFonts w:ascii="Calibri" w:eastAsia="Times New Roman" w:hAnsi="Calibri" w:cs="Times New Roman"/>
      <w:sz w:val="20"/>
      <w:szCs w:val="20"/>
      <w:lang w:val="en-US"/>
    </w:rPr>
    <w:tblPr/>
    <w:tcPr>
      <w:shd w:val="clear" w:color="auto" w:fill="auto"/>
    </w:tcPr>
  </w:style>
  <w:style w:type="table" w:customStyle="1" w:styleId="GridTable4-Accent61">
    <w:name w:val="Grid Table 4 - Accent 61"/>
    <w:basedOn w:val="TableNormal"/>
    <w:uiPriority w:val="49"/>
    <w:rsid w:val="008235D9"/>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ghtShading1">
    <w:name w:val="Light Shading1"/>
    <w:basedOn w:val="TableNormal"/>
    <w:uiPriority w:val="60"/>
    <w:rsid w:val="008235D9"/>
    <w:pPr>
      <w:spacing w:after="0" w:line="240" w:lineRule="auto"/>
    </w:pPr>
    <w:rPr>
      <w:rFonts w:ascii="Calibri" w:eastAsia="Times New Roman" w:hAnsi="Calibri"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8235D9"/>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
    <w:name w:val="Light List"/>
    <w:basedOn w:val="TableNormal"/>
    <w:uiPriority w:val="61"/>
    <w:rsid w:val="008235D9"/>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235D9"/>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uthorname">
    <w:name w:val="author_name"/>
    <w:basedOn w:val="DefaultParagraphFont"/>
    <w:rsid w:val="008235D9"/>
  </w:style>
  <w:style w:type="character" w:customStyle="1" w:styleId="submiteddate">
    <w:name w:val="submited_date"/>
    <w:basedOn w:val="DefaultParagraphFont"/>
    <w:rsid w:val="00823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B7"/>
  </w:style>
  <w:style w:type="paragraph" w:styleId="Heading1">
    <w:name w:val="heading 1"/>
    <w:aliases w:val="Section"/>
    <w:basedOn w:val="Normal"/>
    <w:link w:val="Heading1Char"/>
    <w:qFormat/>
    <w:rsid w:val="00940D50"/>
    <w:pPr>
      <w:widowControl w:val="0"/>
      <w:spacing w:before="49" w:after="0" w:line="240" w:lineRule="auto"/>
      <w:ind w:left="2940" w:hanging="444"/>
      <w:outlineLvl w:val="0"/>
    </w:pPr>
    <w:rPr>
      <w:rFonts w:ascii="Arial" w:eastAsia="Arial" w:hAnsi="Arial" w:cs="Arial"/>
      <w:b/>
      <w:bCs/>
      <w:sz w:val="40"/>
      <w:szCs w:val="40"/>
      <w:lang w:val="en-US"/>
    </w:rPr>
  </w:style>
  <w:style w:type="paragraph" w:styleId="Heading2">
    <w:name w:val="heading 2"/>
    <w:aliases w:val="Major"/>
    <w:basedOn w:val="Normal"/>
    <w:next w:val="Normal"/>
    <w:link w:val="Heading2Char"/>
    <w:unhideWhenUsed/>
    <w:qFormat/>
    <w:rsid w:val="00C278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94291"/>
    <w:pPr>
      <w:keepNext/>
      <w:spacing w:after="0" w:line="240" w:lineRule="auto"/>
      <w:outlineLvl w:val="2"/>
    </w:pPr>
    <w:rPr>
      <w:rFonts w:ascii="Century Gothic" w:eastAsia="Times New Roman" w:hAnsi="Century Gothic" w:cs="Arial"/>
      <w:b/>
      <w:bCs/>
      <w:szCs w:val="20"/>
      <w:lang w:val="en-US"/>
    </w:rPr>
  </w:style>
  <w:style w:type="paragraph" w:styleId="Heading4">
    <w:name w:val="heading 4"/>
    <w:basedOn w:val="Normal"/>
    <w:next w:val="Normal"/>
    <w:link w:val="Heading4Char"/>
    <w:unhideWhenUsed/>
    <w:qFormat/>
    <w:rsid w:val="005917A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D94291"/>
    <w:pPr>
      <w:keepNext/>
      <w:spacing w:after="0" w:line="360" w:lineRule="auto"/>
      <w:jc w:val="center"/>
      <w:outlineLvl w:val="4"/>
    </w:pPr>
    <w:rPr>
      <w:rFonts w:ascii="Century Gothic" w:eastAsia="Times New Roman" w:hAnsi="Century Gothic" w:cs="Times New Roman"/>
      <w:b/>
      <w:bCs/>
      <w:szCs w:val="24"/>
      <w:lang w:val="en-US"/>
    </w:rPr>
  </w:style>
  <w:style w:type="paragraph" w:styleId="Heading6">
    <w:name w:val="heading 6"/>
    <w:basedOn w:val="Normal"/>
    <w:next w:val="Normal"/>
    <w:link w:val="Heading6Char"/>
    <w:qFormat/>
    <w:rsid w:val="00D94291"/>
    <w:pPr>
      <w:keepNext/>
      <w:spacing w:after="0" w:line="360" w:lineRule="auto"/>
      <w:ind w:left="499" w:firstLine="720"/>
      <w:jc w:val="center"/>
      <w:outlineLvl w:val="5"/>
    </w:pPr>
    <w:rPr>
      <w:rFonts w:ascii="Century Gothic" w:eastAsia="Times New Roman" w:hAnsi="Century Gothic" w:cs="Times New Roman"/>
      <w:b/>
      <w:bCs/>
      <w:lang w:val="en-US"/>
    </w:rPr>
  </w:style>
  <w:style w:type="paragraph" w:styleId="Heading7">
    <w:name w:val="heading 7"/>
    <w:basedOn w:val="Normal"/>
    <w:next w:val="Normal"/>
    <w:link w:val="Heading7Char"/>
    <w:qFormat/>
    <w:rsid w:val="00D94291"/>
    <w:pPr>
      <w:keepNext/>
      <w:widowControl w:val="0"/>
      <w:autoSpaceDE w:val="0"/>
      <w:autoSpaceDN w:val="0"/>
      <w:adjustRightInd w:val="0"/>
      <w:spacing w:after="0" w:line="359" w:lineRule="auto"/>
      <w:ind w:left="720"/>
      <w:jc w:val="center"/>
      <w:outlineLvl w:val="6"/>
    </w:pPr>
    <w:rPr>
      <w:rFonts w:ascii="Century Gothic" w:eastAsia="Times New Roman" w:hAnsi="Century Gothic" w:cs="Times New Roman"/>
      <w:b/>
      <w:bCs/>
      <w:szCs w:val="23"/>
      <w:lang w:val="en-US"/>
    </w:rPr>
  </w:style>
  <w:style w:type="paragraph" w:styleId="Heading8">
    <w:name w:val="heading 8"/>
    <w:basedOn w:val="Normal"/>
    <w:next w:val="Normal"/>
    <w:link w:val="Heading8Char"/>
    <w:qFormat/>
    <w:rsid w:val="00D94291"/>
    <w:pPr>
      <w:keepNext/>
      <w:spacing w:after="0" w:line="360" w:lineRule="auto"/>
      <w:ind w:left="360"/>
      <w:jc w:val="center"/>
      <w:outlineLvl w:val="7"/>
    </w:pPr>
    <w:rPr>
      <w:rFonts w:ascii="Century Gothic" w:eastAsia="Times New Roman" w:hAnsi="Century Gothic" w:cs="Times New Roman"/>
      <w:b/>
      <w:bCs/>
      <w:lang w:val="en-US"/>
    </w:rPr>
  </w:style>
  <w:style w:type="paragraph" w:styleId="Heading9">
    <w:name w:val="heading 9"/>
    <w:basedOn w:val="Normal"/>
    <w:next w:val="Normal"/>
    <w:link w:val="Heading9Char"/>
    <w:qFormat/>
    <w:rsid w:val="00D94291"/>
    <w:pPr>
      <w:keepNext/>
      <w:widowControl w:val="0"/>
      <w:autoSpaceDE w:val="0"/>
      <w:autoSpaceDN w:val="0"/>
      <w:adjustRightInd w:val="0"/>
      <w:spacing w:before="8" w:after="0" w:line="274" w:lineRule="exact"/>
      <w:ind w:left="720" w:right="1260"/>
      <w:jc w:val="center"/>
      <w:outlineLvl w:val="8"/>
    </w:pPr>
    <w:rPr>
      <w:rFonts w:ascii="Century Gothic" w:eastAsia="Times New Roman" w:hAnsi="Century Gothic" w:cs="Times New Roman"/>
      <w:b/>
      <w:bCs/>
      <w:position w:val="-1"/>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940D50"/>
    <w:rPr>
      <w:rFonts w:ascii="Arial" w:eastAsia="Arial" w:hAnsi="Arial" w:cs="Arial"/>
      <w:b/>
      <w:bCs/>
      <w:sz w:val="40"/>
      <w:szCs w:val="40"/>
      <w:lang w:val="en-US"/>
    </w:rPr>
  </w:style>
  <w:style w:type="character" w:customStyle="1" w:styleId="Heading2Char">
    <w:name w:val="Heading 2 Char"/>
    <w:aliases w:val="Major Char"/>
    <w:basedOn w:val="DefaultParagraphFont"/>
    <w:link w:val="Heading2"/>
    <w:rsid w:val="00C278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D94291"/>
    <w:rPr>
      <w:rFonts w:ascii="Century Gothic" w:eastAsia="Times New Roman" w:hAnsi="Century Gothic" w:cs="Arial"/>
      <w:b/>
      <w:bCs/>
      <w:szCs w:val="20"/>
      <w:lang w:val="en-US"/>
    </w:rPr>
  </w:style>
  <w:style w:type="character" w:customStyle="1" w:styleId="Heading4Char">
    <w:name w:val="Heading 4 Char"/>
    <w:basedOn w:val="DefaultParagraphFont"/>
    <w:link w:val="Heading4"/>
    <w:rsid w:val="005917A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D94291"/>
    <w:rPr>
      <w:rFonts w:ascii="Century Gothic" w:eastAsia="Times New Roman" w:hAnsi="Century Gothic" w:cs="Times New Roman"/>
      <w:b/>
      <w:bCs/>
      <w:szCs w:val="24"/>
      <w:lang w:val="en-US"/>
    </w:rPr>
  </w:style>
  <w:style w:type="character" w:customStyle="1" w:styleId="Heading6Char">
    <w:name w:val="Heading 6 Char"/>
    <w:basedOn w:val="DefaultParagraphFont"/>
    <w:link w:val="Heading6"/>
    <w:rsid w:val="00D94291"/>
    <w:rPr>
      <w:rFonts w:ascii="Century Gothic" w:eastAsia="Times New Roman" w:hAnsi="Century Gothic" w:cs="Times New Roman"/>
      <w:b/>
      <w:bCs/>
      <w:lang w:val="en-US"/>
    </w:rPr>
  </w:style>
  <w:style w:type="character" w:customStyle="1" w:styleId="Heading7Char">
    <w:name w:val="Heading 7 Char"/>
    <w:basedOn w:val="DefaultParagraphFont"/>
    <w:link w:val="Heading7"/>
    <w:rsid w:val="00D94291"/>
    <w:rPr>
      <w:rFonts w:ascii="Century Gothic" w:eastAsia="Times New Roman" w:hAnsi="Century Gothic" w:cs="Times New Roman"/>
      <w:b/>
      <w:bCs/>
      <w:szCs w:val="23"/>
      <w:lang w:val="en-US"/>
    </w:rPr>
  </w:style>
  <w:style w:type="character" w:customStyle="1" w:styleId="Heading8Char">
    <w:name w:val="Heading 8 Char"/>
    <w:basedOn w:val="DefaultParagraphFont"/>
    <w:link w:val="Heading8"/>
    <w:rsid w:val="00D94291"/>
    <w:rPr>
      <w:rFonts w:ascii="Century Gothic" w:eastAsia="Times New Roman" w:hAnsi="Century Gothic" w:cs="Times New Roman"/>
      <w:b/>
      <w:bCs/>
      <w:lang w:val="en-US"/>
    </w:rPr>
  </w:style>
  <w:style w:type="character" w:customStyle="1" w:styleId="Heading9Char">
    <w:name w:val="Heading 9 Char"/>
    <w:basedOn w:val="DefaultParagraphFont"/>
    <w:link w:val="Heading9"/>
    <w:rsid w:val="00D94291"/>
    <w:rPr>
      <w:rFonts w:ascii="Century Gothic" w:eastAsia="Times New Roman" w:hAnsi="Century Gothic" w:cs="Times New Roman"/>
      <w:b/>
      <w:bCs/>
      <w:position w:val="-1"/>
      <w:szCs w:val="23"/>
      <w:lang w:val="en-US"/>
    </w:rPr>
  </w:style>
  <w:style w:type="paragraph" w:styleId="BodyText">
    <w:name w:val="Body Text"/>
    <w:basedOn w:val="Normal"/>
    <w:link w:val="BodyTextChar"/>
    <w:qFormat/>
    <w:rsid w:val="00940D50"/>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rsid w:val="00940D50"/>
    <w:rPr>
      <w:rFonts w:ascii="Arial" w:eastAsia="Arial" w:hAnsi="Arial" w:cs="Arial"/>
      <w:lang w:val="en-US"/>
    </w:rPr>
  </w:style>
  <w:style w:type="paragraph" w:styleId="Header">
    <w:name w:val="header"/>
    <w:basedOn w:val="Normal"/>
    <w:link w:val="HeaderChar"/>
    <w:uiPriority w:val="99"/>
    <w:unhideWhenUsed/>
    <w:rsid w:val="006D5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172"/>
  </w:style>
  <w:style w:type="paragraph" w:styleId="Footer">
    <w:name w:val="footer"/>
    <w:basedOn w:val="Normal"/>
    <w:link w:val="FooterChar"/>
    <w:uiPriority w:val="99"/>
    <w:unhideWhenUsed/>
    <w:rsid w:val="006D5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172"/>
  </w:style>
  <w:style w:type="paragraph" w:styleId="BalloonText">
    <w:name w:val="Balloon Text"/>
    <w:basedOn w:val="Normal"/>
    <w:link w:val="BalloonTextChar"/>
    <w:uiPriority w:val="99"/>
    <w:semiHidden/>
    <w:unhideWhenUsed/>
    <w:rsid w:val="0010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98"/>
    <w:rPr>
      <w:rFonts w:ascii="Tahoma" w:hAnsi="Tahoma" w:cs="Tahoma"/>
      <w:sz w:val="16"/>
      <w:szCs w:val="16"/>
    </w:rPr>
  </w:style>
  <w:style w:type="table" w:styleId="MediumGrid1-Accent2">
    <w:name w:val="Medium Grid 1 Accent 2"/>
    <w:basedOn w:val="TableNormal"/>
    <w:uiPriority w:val="67"/>
    <w:rsid w:val="008C7272"/>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PageNumber">
    <w:name w:val="page number"/>
    <w:basedOn w:val="DefaultParagraphFont"/>
    <w:semiHidden/>
    <w:rsid w:val="00A448F7"/>
  </w:style>
  <w:style w:type="paragraph" w:customStyle="1" w:styleId="yiv736783227msonormal">
    <w:name w:val="yiv736783227msonormal"/>
    <w:basedOn w:val="Normal"/>
    <w:rsid w:val="00321D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link w:val="SubtitleChar"/>
    <w:qFormat/>
    <w:rsid w:val="00C278B7"/>
    <w:pPr>
      <w:spacing w:after="0" w:line="240" w:lineRule="auto"/>
      <w:ind w:right="360"/>
      <w:jc w:val="center"/>
    </w:pPr>
    <w:rPr>
      <w:rFonts w:ascii="Century Gothic" w:eastAsia="Times New Roman" w:hAnsi="Century Gothic" w:cs="Times New Roman"/>
      <w:b/>
      <w:bCs/>
      <w:szCs w:val="24"/>
      <w:u w:val="single"/>
      <w:lang w:val="en-US"/>
    </w:rPr>
  </w:style>
  <w:style w:type="character" w:customStyle="1" w:styleId="SubtitleChar">
    <w:name w:val="Subtitle Char"/>
    <w:basedOn w:val="DefaultParagraphFont"/>
    <w:link w:val="Subtitle"/>
    <w:rsid w:val="00C278B7"/>
    <w:rPr>
      <w:rFonts w:ascii="Century Gothic" w:eastAsia="Times New Roman" w:hAnsi="Century Gothic" w:cs="Times New Roman"/>
      <w:b/>
      <w:bCs/>
      <w:szCs w:val="24"/>
      <w:u w:val="single"/>
      <w:lang w:val="en-US"/>
    </w:rPr>
  </w:style>
  <w:style w:type="paragraph" w:styleId="BodyTextIndent3">
    <w:name w:val="Body Text Indent 3"/>
    <w:basedOn w:val="Normal"/>
    <w:link w:val="BodyTextIndent3Char"/>
    <w:semiHidden/>
    <w:unhideWhenUsed/>
    <w:rsid w:val="005917A4"/>
    <w:pPr>
      <w:spacing w:after="120"/>
      <w:ind w:left="283"/>
    </w:pPr>
    <w:rPr>
      <w:sz w:val="16"/>
      <w:szCs w:val="16"/>
    </w:rPr>
  </w:style>
  <w:style w:type="character" w:customStyle="1" w:styleId="BodyTextIndent3Char">
    <w:name w:val="Body Text Indent 3 Char"/>
    <w:basedOn w:val="DefaultParagraphFont"/>
    <w:link w:val="BodyTextIndent3"/>
    <w:semiHidden/>
    <w:rsid w:val="005917A4"/>
    <w:rPr>
      <w:sz w:val="16"/>
      <w:szCs w:val="16"/>
    </w:rPr>
  </w:style>
  <w:style w:type="paragraph" w:customStyle="1" w:styleId="yiv332964982msonormal">
    <w:name w:val="yiv332964982msonormal"/>
    <w:basedOn w:val="Normal"/>
    <w:rsid w:val="00D9429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yiv332964982grame">
    <w:name w:val="yiv332964982grame"/>
    <w:basedOn w:val="DefaultParagraphFont"/>
    <w:rsid w:val="00D94291"/>
  </w:style>
  <w:style w:type="character" w:customStyle="1" w:styleId="yiv332964982spelle">
    <w:name w:val="yiv332964982spelle"/>
    <w:basedOn w:val="DefaultParagraphFont"/>
    <w:rsid w:val="00D94291"/>
  </w:style>
  <w:style w:type="paragraph" w:styleId="NoSpacing">
    <w:name w:val="No Spacing"/>
    <w:uiPriority w:val="1"/>
    <w:qFormat/>
    <w:rsid w:val="00D94291"/>
    <w:pPr>
      <w:spacing w:after="0" w:line="240" w:lineRule="auto"/>
    </w:pPr>
    <w:rPr>
      <w:rFonts w:ascii="Calibri" w:eastAsia="Times New Roman" w:hAnsi="Calibri" w:cs="Times New Roman"/>
      <w:lang w:val="en-US"/>
    </w:rPr>
  </w:style>
  <w:style w:type="paragraph" w:customStyle="1" w:styleId="yiv1716040557msonormal">
    <w:name w:val="yiv1716040557msonormal"/>
    <w:basedOn w:val="Normal"/>
    <w:rsid w:val="00D942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736783227grame">
    <w:name w:val="yiv736783227grame"/>
    <w:basedOn w:val="DefaultParagraphFont"/>
    <w:rsid w:val="00D94291"/>
  </w:style>
  <w:style w:type="paragraph" w:customStyle="1" w:styleId="yiv736783227nospacing">
    <w:name w:val="yiv736783227nospacing"/>
    <w:basedOn w:val="Normal"/>
    <w:rsid w:val="00D942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94291"/>
    <w:rPr>
      <w:color w:val="0000FF"/>
      <w:u w:val="single"/>
    </w:rPr>
  </w:style>
  <w:style w:type="paragraph" w:customStyle="1" w:styleId="yiv1621730620msonormal">
    <w:name w:val="yiv1621730620msonormal"/>
    <w:basedOn w:val="Normal"/>
    <w:rsid w:val="00D942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1621730620nospacing">
    <w:name w:val="yiv1621730620nospacing"/>
    <w:basedOn w:val="Normal"/>
    <w:rsid w:val="00D942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D94291"/>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D94291"/>
    <w:rPr>
      <w:rFonts w:ascii="Times New Roman" w:eastAsia="Times New Roman" w:hAnsi="Times New Roman" w:cs="Times New Roman"/>
      <w:b/>
      <w:bCs/>
      <w:sz w:val="24"/>
      <w:szCs w:val="24"/>
      <w:lang w:val="en-US"/>
    </w:rPr>
  </w:style>
  <w:style w:type="character" w:customStyle="1" w:styleId="BodyTextIndent2Char">
    <w:name w:val="Body Text Indent 2 Char"/>
    <w:basedOn w:val="DefaultParagraphFont"/>
    <w:link w:val="BodyTextIndent2"/>
    <w:semiHidden/>
    <w:rsid w:val="00D94291"/>
    <w:rPr>
      <w:rFonts w:ascii="Century Gothic" w:eastAsia="Times New Roman" w:hAnsi="Century Gothic" w:cs="Times New Roman"/>
      <w:szCs w:val="24"/>
      <w:lang w:val="en-GB"/>
    </w:rPr>
  </w:style>
  <w:style w:type="paragraph" w:styleId="BodyTextIndent2">
    <w:name w:val="Body Text Indent 2"/>
    <w:basedOn w:val="Normal"/>
    <w:link w:val="BodyTextIndent2Char"/>
    <w:semiHidden/>
    <w:rsid w:val="00D94291"/>
    <w:pPr>
      <w:spacing w:before="120" w:after="120" w:line="312" w:lineRule="auto"/>
      <w:ind w:left="720"/>
      <w:jc w:val="both"/>
    </w:pPr>
    <w:rPr>
      <w:rFonts w:ascii="Century Gothic" w:eastAsia="Times New Roman" w:hAnsi="Century Gothic" w:cs="Times New Roman"/>
      <w:szCs w:val="24"/>
      <w:lang w:val="en-GB"/>
    </w:rPr>
  </w:style>
  <w:style w:type="paragraph" w:styleId="FootnoteText">
    <w:name w:val="footnote text"/>
    <w:basedOn w:val="Normal"/>
    <w:link w:val="FootnoteTextChar"/>
    <w:semiHidden/>
    <w:rsid w:val="00D94291"/>
    <w:pPr>
      <w:spacing w:after="0" w:line="240" w:lineRule="auto"/>
    </w:pPr>
    <w:rPr>
      <w:rFonts w:ascii="Century Gothic" w:eastAsia="Times New Roman" w:hAnsi="Century Gothic" w:cs="Times New Roman"/>
      <w:sz w:val="20"/>
      <w:szCs w:val="20"/>
      <w:lang w:val="en-GB"/>
    </w:rPr>
  </w:style>
  <w:style w:type="character" w:customStyle="1" w:styleId="FootnoteTextChar">
    <w:name w:val="Footnote Text Char"/>
    <w:basedOn w:val="DefaultParagraphFont"/>
    <w:link w:val="FootnoteText"/>
    <w:semiHidden/>
    <w:rsid w:val="00D94291"/>
    <w:rPr>
      <w:rFonts w:ascii="Century Gothic" w:eastAsia="Times New Roman" w:hAnsi="Century Gothic" w:cs="Times New Roman"/>
      <w:sz w:val="20"/>
      <w:szCs w:val="20"/>
      <w:lang w:val="en-GB"/>
    </w:rPr>
  </w:style>
  <w:style w:type="paragraph" w:styleId="BodyTextIndent">
    <w:name w:val="Body Text Indent"/>
    <w:basedOn w:val="Normal"/>
    <w:link w:val="BodyTextIndentChar"/>
    <w:semiHidden/>
    <w:rsid w:val="00D94291"/>
    <w:pPr>
      <w:spacing w:after="0" w:line="360" w:lineRule="auto"/>
      <w:ind w:left="720"/>
      <w:jc w:val="both"/>
    </w:pPr>
    <w:rPr>
      <w:rFonts w:ascii="Century Gothic" w:eastAsia="Times New Roman" w:hAnsi="Century Gothic" w:cs="Times New Roman"/>
      <w:color w:val="FF0000"/>
      <w:szCs w:val="24"/>
      <w:lang w:val="en-US"/>
    </w:rPr>
  </w:style>
  <w:style w:type="character" w:customStyle="1" w:styleId="BodyTextIndentChar">
    <w:name w:val="Body Text Indent Char"/>
    <w:basedOn w:val="DefaultParagraphFont"/>
    <w:link w:val="BodyTextIndent"/>
    <w:semiHidden/>
    <w:rsid w:val="00D94291"/>
    <w:rPr>
      <w:rFonts w:ascii="Century Gothic" w:eastAsia="Times New Roman" w:hAnsi="Century Gothic" w:cs="Times New Roman"/>
      <w:color w:val="FF0000"/>
      <w:szCs w:val="24"/>
      <w:lang w:val="en-US"/>
    </w:rPr>
  </w:style>
  <w:style w:type="paragraph" w:customStyle="1" w:styleId="Default">
    <w:name w:val="Default"/>
    <w:rsid w:val="00D94291"/>
    <w:pPr>
      <w:autoSpaceDE w:val="0"/>
      <w:autoSpaceDN w:val="0"/>
      <w:adjustRightInd w:val="0"/>
      <w:spacing w:after="0" w:line="240" w:lineRule="auto"/>
    </w:pPr>
    <w:rPr>
      <w:rFonts w:ascii="Bookman Old Style" w:eastAsia="Times New Roman" w:hAnsi="Bookman Old Style" w:cs="Times New Roman"/>
      <w:color w:val="000000"/>
      <w:sz w:val="24"/>
      <w:szCs w:val="24"/>
      <w:lang w:val="en-US"/>
    </w:rPr>
  </w:style>
  <w:style w:type="character" w:customStyle="1" w:styleId="BodyText2Char">
    <w:name w:val="Body Text 2 Char"/>
    <w:basedOn w:val="DefaultParagraphFont"/>
    <w:link w:val="BodyText2"/>
    <w:semiHidden/>
    <w:rsid w:val="00D94291"/>
    <w:rPr>
      <w:rFonts w:ascii="Times New Roman" w:eastAsia="Times New Roman" w:hAnsi="Times New Roman" w:cs="Times New Roman"/>
      <w:sz w:val="28"/>
      <w:szCs w:val="28"/>
      <w:lang w:val="en-US"/>
    </w:rPr>
  </w:style>
  <w:style w:type="paragraph" w:styleId="BodyText2">
    <w:name w:val="Body Text 2"/>
    <w:basedOn w:val="Normal"/>
    <w:link w:val="BodyText2Char"/>
    <w:semiHidden/>
    <w:rsid w:val="00D94291"/>
    <w:pPr>
      <w:spacing w:after="0" w:line="360" w:lineRule="auto"/>
    </w:pPr>
    <w:rPr>
      <w:rFonts w:ascii="Times New Roman" w:eastAsia="Times New Roman" w:hAnsi="Times New Roman" w:cs="Times New Roman"/>
      <w:sz w:val="28"/>
      <w:szCs w:val="28"/>
      <w:lang w:val="en-US"/>
    </w:rPr>
  </w:style>
  <w:style w:type="paragraph" w:styleId="Caption">
    <w:name w:val="caption"/>
    <w:basedOn w:val="Normal"/>
    <w:next w:val="Normal"/>
    <w:qFormat/>
    <w:rsid w:val="00D94291"/>
    <w:pPr>
      <w:spacing w:after="0" w:line="240" w:lineRule="auto"/>
      <w:jc w:val="both"/>
    </w:pPr>
    <w:rPr>
      <w:rFonts w:ascii="Century Gothic" w:eastAsia="Times New Roman" w:hAnsi="Century Gothic" w:cs="Times New Roman"/>
      <w:b/>
      <w:bCs/>
      <w:sz w:val="16"/>
      <w:szCs w:val="24"/>
      <w:lang w:val="en-US"/>
    </w:rPr>
  </w:style>
  <w:style w:type="paragraph" w:styleId="BodyText3">
    <w:name w:val="Body Text 3"/>
    <w:basedOn w:val="Normal"/>
    <w:link w:val="BodyText3Char"/>
    <w:semiHidden/>
    <w:rsid w:val="00D94291"/>
    <w:pPr>
      <w:spacing w:after="0" w:line="240" w:lineRule="auto"/>
      <w:jc w:val="both"/>
    </w:pPr>
    <w:rPr>
      <w:rFonts w:ascii="Century Gothic" w:eastAsia="Times New Roman" w:hAnsi="Century Gothic" w:cs="Times New Roman"/>
      <w:b/>
      <w:bCs/>
      <w:szCs w:val="24"/>
      <w:lang w:val="en-US"/>
    </w:rPr>
  </w:style>
  <w:style w:type="character" w:customStyle="1" w:styleId="BodyText3Char">
    <w:name w:val="Body Text 3 Char"/>
    <w:basedOn w:val="DefaultParagraphFont"/>
    <w:link w:val="BodyText3"/>
    <w:semiHidden/>
    <w:rsid w:val="00D94291"/>
    <w:rPr>
      <w:rFonts w:ascii="Century Gothic" w:eastAsia="Times New Roman" w:hAnsi="Century Gothic" w:cs="Times New Roman"/>
      <w:b/>
      <w:bCs/>
      <w:szCs w:val="24"/>
      <w:lang w:val="en-US"/>
    </w:rPr>
  </w:style>
  <w:style w:type="paragraph" w:styleId="ListBullet">
    <w:name w:val="List Bullet"/>
    <w:basedOn w:val="Normal"/>
    <w:autoRedefine/>
    <w:semiHidden/>
    <w:rsid w:val="00D94291"/>
    <w:pPr>
      <w:tabs>
        <w:tab w:val="num" w:pos="720"/>
      </w:tabs>
      <w:spacing w:before="120" w:after="0" w:line="360" w:lineRule="auto"/>
      <w:ind w:left="720" w:hanging="360"/>
      <w:jc w:val="both"/>
    </w:pPr>
    <w:rPr>
      <w:rFonts w:ascii="Times New Roman" w:eastAsia="Times New Roman" w:hAnsi="Times New Roman" w:cs="Times New Roman"/>
      <w:szCs w:val="20"/>
      <w:lang w:val="en-US"/>
    </w:rPr>
  </w:style>
  <w:style w:type="paragraph" w:customStyle="1" w:styleId="font5">
    <w:name w:val="font5"/>
    <w:basedOn w:val="Normal"/>
    <w:rsid w:val="00D94291"/>
    <w:pPr>
      <w:spacing w:before="100" w:beforeAutospacing="1" w:after="100" w:afterAutospacing="1" w:line="240" w:lineRule="auto"/>
    </w:pPr>
    <w:rPr>
      <w:rFonts w:ascii="Tahoma" w:eastAsia="Arial Unicode MS" w:hAnsi="Tahoma" w:cs="Tahoma"/>
      <w:b/>
      <w:bCs/>
      <w:color w:val="000000"/>
      <w:sz w:val="16"/>
      <w:szCs w:val="16"/>
      <w:lang w:val="en-US"/>
    </w:rPr>
  </w:style>
  <w:style w:type="paragraph" w:customStyle="1" w:styleId="font6">
    <w:name w:val="font6"/>
    <w:basedOn w:val="Normal"/>
    <w:rsid w:val="00D94291"/>
    <w:pPr>
      <w:spacing w:before="100" w:beforeAutospacing="1" w:after="100" w:afterAutospacing="1" w:line="240" w:lineRule="auto"/>
    </w:pPr>
    <w:rPr>
      <w:rFonts w:ascii="Tahoma" w:eastAsia="Arial Unicode MS" w:hAnsi="Tahoma" w:cs="Tahoma"/>
      <w:color w:val="000000"/>
      <w:sz w:val="16"/>
      <w:szCs w:val="16"/>
      <w:lang w:val="en-US"/>
    </w:rPr>
  </w:style>
  <w:style w:type="paragraph" w:customStyle="1" w:styleId="xl25">
    <w:name w:val="xl25"/>
    <w:basedOn w:val="Normal"/>
    <w:rsid w:val="00D9429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26">
    <w:name w:val="xl26"/>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27">
    <w:name w:val="xl27"/>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28">
    <w:name w:val="xl28"/>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29">
    <w:name w:val="xl29"/>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lang w:val="en-US"/>
    </w:rPr>
  </w:style>
  <w:style w:type="paragraph" w:customStyle="1" w:styleId="xl30">
    <w:name w:val="xl30"/>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Arial Unicode MS" w:hAnsi="Century Gothic" w:cs="Arial Unicode MS"/>
      <w:b/>
      <w:bCs/>
      <w:sz w:val="24"/>
      <w:szCs w:val="24"/>
      <w:lang w:val="en-US"/>
    </w:rPr>
  </w:style>
  <w:style w:type="paragraph" w:customStyle="1" w:styleId="xl31">
    <w:name w:val="xl31"/>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Arial Unicode MS" w:hAnsi="Century Gothic" w:cs="Arial Unicode MS"/>
      <w:sz w:val="24"/>
      <w:szCs w:val="24"/>
      <w:lang w:val="en-US"/>
    </w:rPr>
  </w:style>
  <w:style w:type="paragraph" w:customStyle="1" w:styleId="xl32">
    <w:name w:val="xl32"/>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33">
    <w:name w:val="xl33"/>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34">
    <w:name w:val="xl34"/>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lang w:val="en-US"/>
    </w:rPr>
  </w:style>
  <w:style w:type="paragraph" w:customStyle="1" w:styleId="xl35">
    <w:name w:val="xl35"/>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b/>
      <w:bCs/>
      <w:sz w:val="24"/>
      <w:szCs w:val="24"/>
      <w:lang w:val="en-US"/>
    </w:rPr>
  </w:style>
  <w:style w:type="paragraph" w:customStyle="1" w:styleId="xl36">
    <w:name w:val="xl36"/>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37">
    <w:name w:val="xl37"/>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38">
    <w:name w:val="xl38"/>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lang w:val="en-US"/>
    </w:rPr>
  </w:style>
  <w:style w:type="paragraph" w:customStyle="1" w:styleId="xl39">
    <w:name w:val="xl39"/>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40">
    <w:name w:val="xl40"/>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lang w:val="en-US"/>
    </w:rPr>
  </w:style>
  <w:style w:type="paragraph" w:customStyle="1" w:styleId="xl41">
    <w:name w:val="xl41"/>
    <w:basedOn w:val="Normal"/>
    <w:rsid w:val="00D9429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lang w:val="en-US"/>
    </w:rPr>
  </w:style>
  <w:style w:type="paragraph" w:customStyle="1" w:styleId="xl42">
    <w:name w:val="xl42"/>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b/>
      <w:bCs/>
      <w:sz w:val="24"/>
      <w:szCs w:val="24"/>
      <w:lang w:val="en-US"/>
    </w:rPr>
  </w:style>
  <w:style w:type="paragraph" w:customStyle="1" w:styleId="xl43">
    <w:name w:val="xl43"/>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lang w:val="en-US"/>
    </w:rPr>
  </w:style>
  <w:style w:type="paragraph" w:customStyle="1" w:styleId="xl44">
    <w:name w:val="xl44"/>
    <w:basedOn w:val="Normal"/>
    <w:rsid w:val="00D94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Arial Unicode MS" w:hAnsi="Century Gothic" w:cs="Arial Unicode MS"/>
      <w:b/>
      <w:bCs/>
      <w:sz w:val="24"/>
      <w:szCs w:val="24"/>
      <w:lang w:val="en-US"/>
    </w:rPr>
  </w:style>
  <w:style w:type="paragraph" w:customStyle="1" w:styleId="xl45">
    <w:name w:val="xl45"/>
    <w:basedOn w:val="Normal"/>
    <w:rsid w:val="00D94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entury Gothic" w:eastAsia="Arial Unicode MS" w:hAnsi="Century Gothic" w:cs="Arial Unicode MS"/>
      <w:b/>
      <w:bCs/>
      <w:sz w:val="24"/>
      <w:szCs w:val="24"/>
      <w:lang w:val="en-US"/>
    </w:rPr>
  </w:style>
  <w:style w:type="paragraph" w:customStyle="1" w:styleId="xl46">
    <w:name w:val="xl46"/>
    <w:basedOn w:val="Normal"/>
    <w:rsid w:val="00D942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lang w:val="en-US"/>
    </w:rPr>
  </w:style>
  <w:style w:type="paragraph" w:styleId="ListParagraph">
    <w:name w:val="List Paragraph"/>
    <w:basedOn w:val="Normal"/>
    <w:uiPriority w:val="1"/>
    <w:qFormat/>
    <w:rsid w:val="00D94291"/>
    <w:pPr>
      <w:spacing w:after="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59"/>
    <w:rsid w:val="00D9429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D94291"/>
    <w:pPr>
      <w:spacing w:before="100" w:beforeAutospacing="1" w:after="100" w:afterAutospacing="1" w:line="240" w:lineRule="auto"/>
    </w:pPr>
    <w:rPr>
      <w:rFonts w:ascii="Times New Roman" w:eastAsia="Times New Roman" w:hAnsi="Times New Roman" w:cs="Times New Roman"/>
      <w:color w:val="336600"/>
      <w:sz w:val="24"/>
      <w:szCs w:val="24"/>
      <w:lang w:val="en-US"/>
    </w:rPr>
  </w:style>
  <w:style w:type="character" w:customStyle="1" w:styleId="bolded-txt">
    <w:name w:val="bolded-txt"/>
    <w:basedOn w:val="DefaultParagraphFont"/>
    <w:rsid w:val="00D94291"/>
  </w:style>
  <w:style w:type="character" w:customStyle="1" w:styleId="apple-converted-space">
    <w:name w:val="apple-converted-space"/>
    <w:basedOn w:val="DefaultParagraphFont"/>
    <w:rsid w:val="00D94291"/>
  </w:style>
  <w:style w:type="paragraph" w:customStyle="1" w:styleId="TableParagraph">
    <w:name w:val="Table Paragraph"/>
    <w:basedOn w:val="Normal"/>
    <w:uiPriority w:val="1"/>
    <w:qFormat/>
    <w:rsid w:val="00D94291"/>
    <w:pPr>
      <w:widowControl w:val="0"/>
      <w:spacing w:after="0" w:line="240" w:lineRule="auto"/>
    </w:pPr>
    <w:rPr>
      <w:rFonts w:ascii="Century Gothic" w:eastAsia="Century Gothic" w:hAnsi="Century Gothic" w:cs="Century Gothic"/>
      <w:lang w:val="en-US"/>
    </w:rPr>
  </w:style>
  <w:style w:type="paragraph" w:styleId="BlockText">
    <w:name w:val="Block Text"/>
    <w:basedOn w:val="Normal"/>
    <w:semiHidden/>
    <w:rsid w:val="008235D9"/>
    <w:pPr>
      <w:widowControl w:val="0"/>
      <w:tabs>
        <w:tab w:val="left" w:pos="8640"/>
      </w:tabs>
      <w:autoSpaceDE w:val="0"/>
      <w:autoSpaceDN w:val="0"/>
      <w:adjustRightInd w:val="0"/>
      <w:spacing w:after="0" w:line="240" w:lineRule="auto"/>
      <w:ind w:left="480" w:right="7774"/>
      <w:jc w:val="both"/>
    </w:pPr>
    <w:rPr>
      <w:rFonts w:ascii="Century Gothic" w:eastAsia="Times New Roman" w:hAnsi="Century Gothic" w:cs="Times New Roman"/>
      <w:b/>
      <w:bCs/>
      <w:spacing w:val="1"/>
      <w:sz w:val="24"/>
      <w:szCs w:val="23"/>
      <w:lang w:val="en-US"/>
    </w:rPr>
  </w:style>
  <w:style w:type="table" w:customStyle="1" w:styleId="Style1">
    <w:name w:val="Style1"/>
    <w:basedOn w:val="TableNormal"/>
    <w:uiPriority w:val="99"/>
    <w:rsid w:val="008235D9"/>
    <w:pPr>
      <w:spacing w:after="0" w:line="240" w:lineRule="auto"/>
    </w:pPr>
    <w:rPr>
      <w:rFonts w:ascii="Calibri" w:eastAsia="Times New Roman" w:hAnsi="Calibri" w:cs="Times New Roman"/>
      <w:sz w:val="20"/>
      <w:szCs w:val="20"/>
      <w:lang w:val="en-US"/>
    </w:rPr>
    <w:tblPr/>
    <w:tcPr>
      <w:shd w:val="clear" w:color="auto" w:fill="auto"/>
    </w:tcPr>
  </w:style>
  <w:style w:type="table" w:customStyle="1" w:styleId="GridTable4-Accent61">
    <w:name w:val="Grid Table 4 - Accent 61"/>
    <w:basedOn w:val="TableNormal"/>
    <w:uiPriority w:val="49"/>
    <w:rsid w:val="008235D9"/>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ghtShading1">
    <w:name w:val="Light Shading1"/>
    <w:basedOn w:val="TableNormal"/>
    <w:uiPriority w:val="60"/>
    <w:rsid w:val="008235D9"/>
    <w:pPr>
      <w:spacing w:after="0" w:line="240" w:lineRule="auto"/>
    </w:pPr>
    <w:rPr>
      <w:rFonts w:ascii="Calibri" w:eastAsia="Times New Roman" w:hAnsi="Calibri"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8235D9"/>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
    <w:name w:val="Light List"/>
    <w:basedOn w:val="TableNormal"/>
    <w:uiPriority w:val="61"/>
    <w:rsid w:val="008235D9"/>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235D9"/>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uthorname">
    <w:name w:val="author_name"/>
    <w:basedOn w:val="DefaultParagraphFont"/>
    <w:rsid w:val="008235D9"/>
  </w:style>
  <w:style w:type="character" w:customStyle="1" w:styleId="submiteddate">
    <w:name w:val="submited_date"/>
    <w:basedOn w:val="DefaultParagraphFont"/>
    <w:rsid w:val="0082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426">
      <w:bodyDiv w:val="1"/>
      <w:marLeft w:val="0"/>
      <w:marRight w:val="0"/>
      <w:marTop w:val="0"/>
      <w:marBottom w:val="0"/>
      <w:divBdr>
        <w:top w:val="none" w:sz="0" w:space="0" w:color="auto"/>
        <w:left w:val="none" w:sz="0" w:space="0" w:color="auto"/>
        <w:bottom w:val="none" w:sz="0" w:space="0" w:color="auto"/>
        <w:right w:val="none" w:sz="0" w:space="0" w:color="auto"/>
      </w:divBdr>
    </w:div>
    <w:div w:id="21252510">
      <w:bodyDiv w:val="1"/>
      <w:marLeft w:val="0"/>
      <w:marRight w:val="0"/>
      <w:marTop w:val="0"/>
      <w:marBottom w:val="0"/>
      <w:divBdr>
        <w:top w:val="none" w:sz="0" w:space="0" w:color="auto"/>
        <w:left w:val="none" w:sz="0" w:space="0" w:color="auto"/>
        <w:bottom w:val="none" w:sz="0" w:space="0" w:color="auto"/>
        <w:right w:val="none" w:sz="0" w:space="0" w:color="auto"/>
      </w:divBdr>
    </w:div>
    <w:div w:id="30499666">
      <w:bodyDiv w:val="1"/>
      <w:marLeft w:val="0"/>
      <w:marRight w:val="0"/>
      <w:marTop w:val="0"/>
      <w:marBottom w:val="0"/>
      <w:divBdr>
        <w:top w:val="none" w:sz="0" w:space="0" w:color="auto"/>
        <w:left w:val="none" w:sz="0" w:space="0" w:color="auto"/>
        <w:bottom w:val="none" w:sz="0" w:space="0" w:color="auto"/>
        <w:right w:val="none" w:sz="0" w:space="0" w:color="auto"/>
      </w:divBdr>
    </w:div>
    <w:div w:id="38630645">
      <w:bodyDiv w:val="1"/>
      <w:marLeft w:val="0"/>
      <w:marRight w:val="0"/>
      <w:marTop w:val="0"/>
      <w:marBottom w:val="0"/>
      <w:divBdr>
        <w:top w:val="none" w:sz="0" w:space="0" w:color="auto"/>
        <w:left w:val="none" w:sz="0" w:space="0" w:color="auto"/>
        <w:bottom w:val="none" w:sz="0" w:space="0" w:color="auto"/>
        <w:right w:val="none" w:sz="0" w:space="0" w:color="auto"/>
      </w:divBdr>
    </w:div>
    <w:div w:id="98332510">
      <w:bodyDiv w:val="1"/>
      <w:marLeft w:val="0"/>
      <w:marRight w:val="0"/>
      <w:marTop w:val="0"/>
      <w:marBottom w:val="0"/>
      <w:divBdr>
        <w:top w:val="none" w:sz="0" w:space="0" w:color="auto"/>
        <w:left w:val="none" w:sz="0" w:space="0" w:color="auto"/>
        <w:bottom w:val="none" w:sz="0" w:space="0" w:color="auto"/>
        <w:right w:val="none" w:sz="0" w:space="0" w:color="auto"/>
      </w:divBdr>
    </w:div>
    <w:div w:id="169294858">
      <w:bodyDiv w:val="1"/>
      <w:marLeft w:val="0"/>
      <w:marRight w:val="0"/>
      <w:marTop w:val="0"/>
      <w:marBottom w:val="0"/>
      <w:divBdr>
        <w:top w:val="none" w:sz="0" w:space="0" w:color="auto"/>
        <w:left w:val="none" w:sz="0" w:space="0" w:color="auto"/>
        <w:bottom w:val="none" w:sz="0" w:space="0" w:color="auto"/>
        <w:right w:val="none" w:sz="0" w:space="0" w:color="auto"/>
      </w:divBdr>
    </w:div>
    <w:div w:id="181668443">
      <w:bodyDiv w:val="1"/>
      <w:marLeft w:val="0"/>
      <w:marRight w:val="0"/>
      <w:marTop w:val="0"/>
      <w:marBottom w:val="0"/>
      <w:divBdr>
        <w:top w:val="none" w:sz="0" w:space="0" w:color="auto"/>
        <w:left w:val="none" w:sz="0" w:space="0" w:color="auto"/>
        <w:bottom w:val="none" w:sz="0" w:space="0" w:color="auto"/>
        <w:right w:val="none" w:sz="0" w:space="0" w:color="auto"/>
      </w:divBdr>
    </w:div>
    <w:div w:id="182865128">
      <w:bodyDiv w:val="1"/>
      <w:marLeft w:val="0"/>
      <w:marRight w:val="0"/>
      <w:marTop w:val="0"/>
      <w:marBottom w:val="0"/>
      <w:divBdr>
        <w:top w:val="none" w:sz="0" w:space="0" w:color="auto"/>
        <w:left w:val="none" w:sz="0" w:space="0" w:color="auto"/>
        <w:bottom w:val="none" w:sz="0" w:space="0" w:color="auto"/>
        <w:right w:val="none" w:sz="0" w:space="0" w:color="auto"/>
      </w:divBdr>
    </w:div>
    <w:div w:id="219294298">
      <w:bodyDiv w:val="1"/>
      <w:marLeft w:val="0"/>
      <w:marRight w:val="0"/>
      <w:marTop w:val="0"/>
      <w:marBottom w:val="0"/>
      <w:divBdr>
        <w:top w:val="none" w:sz="0" w:space="0" w:color="auto"/>
        <w:left w:val="none" w:sz="0" w:space="0" w:color="auto"/>
        <w:bottom w:val="none" w:sz="0" w:space="0" w:color="auto"/>
        <w:right w:val="none" w:sz="0" w:space="0" w:color="auto"/>
      </w:divBdr>
    </w:div>
    <w:div w:id="275407350">
      <w:bodyDiv w:val="1"/>
      <w:marLeft w:val="0"/>
      <w:marRight w:val="0"/>
      <w:marTop w:val="0"/>
      <w:marBottom w:val="0"/>
      <w:divBdr>
        <w:top w:val="none" w:sz="0" w:space="0" w:color="auto"/>
        <w:left w:val="none" w:sz="0" w:space="0" w:color="auto"/>
        <w:bottom w:val="none" w:sz="0" w:space="0" w:color="auto"/>
        <w:right w:val="none" w:sz="0" w:space="0" w:color="auto"/>
      </w:divBdr>
    </w:div>
    <w:div w:id="277219352">
      <w:bodyDiv w:val="1"/>
      <w:marLeft w:val="0"/>
      <w:marRight w:val="0"/>
      <w:marTop w:val="0"/>
      <w:marBottom w:val="0"/>
      <w:divBdr>
        <w:top w:val="none" w:sz="0" w:space="0" w:color="auto"/>
        <w:left w:val="none" w:sz="0" w:space="0" w:color="auto"/>
        <w:bottom w:val="none" w:sz="0" w:space="0" w:color="auto"/>
        <w:right w:val="none" w:sz="0" w:space="0" w:color="auto"/>
      </w:divBdr>
    </w:div>
    <w:div w:id="284508074">
      <w:bodyDiv w:val="1"/>
      <w:marLeft w:val="0"/>
      <w:marRight w:val="0"/>
      <w:marTop w:val="0"/>
      <w:marBottom w:val="0"/>
      <w:divBdr>
        <w:top w:val="none" w:sz="0" w:space="0" w:color="auto"/>
        <w:left w:val="none" w:sz="0" w:space="0" w:color="auto"/>
        <w:bottom w:val="none" w:sz="0" w:space="0" w:color="auto"/>
        <w:right w:val="none" w:sz="0" w:space="0" w:color="auto"/>
      </w:divBdr>
      <w:divsChild>
        <w:div w:id="1343703103">
          <w:marLeft w:val="0"/>
          <w:marRight w:val="0"/>
          <w:marTop w:val="0"/>
          <w:marBottom w:val="0"/>
          <w:divBdr>
            <w:top w:val="none" w:sz="0" w:space="0" w:color="auto"/>
            <w:left w:val="none" w:sz="0" w:space="0" w:color="auto"/>
            <w:bottom w:val="none" w:sz="0" w:space="0" w:color="auto"/>
            <w:right w:val="none" w:sz="0" w:space="0" w:color="auto"/>
          </w:divBdr>
        </w:div>
        <w:div w:id="809126914">
          <w:marLeft w:val="0"/>
          <w:marRight w:val="0"/>
          <w:marTop w:val="0"/>
          <w:marBottom w:val="0"/>
          <w:divBdr>
            <w:top w:val="none" w:sz="0" w:space="0" w:color="auto"/>
            <w:left w:val="none" w:sz="0" w:space="0" w:color="auto"/>
            <w:bottom w:val="none" w:sz="0" w:space="0" w:color="auto"/>
            <w:right w:val="none" w:sz="0" w:space="0" w:color="auto"/>
          </w:divBdr>
        </w:div>
      </w:divsChild>
    </w:div>
    <w:div w:id="316692092">
      <w:bodyDiv w:val="1"/>
      <w:marLeft w:val="0"/>
      <w:marRight w:val="0"/>
      <w:marTop w:val="0"/>
      <w:marBottom w:val="0"/>
      <w:divBdr>
        <w:top w:val="none" w:sz="0" w:space="0" w:color="auto"/>
        <w:left w:val="none" w:sz="0" w:space="0" w:color="auto"/>
        <w:bottom w:val="none" w:sz="0" w:space="0" w:color="auto"/>
        <w:right w:val="none" w:sz="0" w:space="0" w:color="auto"/>
      </w:divBdr>
    </w:div>
    <w:div w:id="377584376">
      <w:bodyDiv w:val="1"/>
      <w:marLeft w:val="0"/>
      <w:marRight w:val="0"/>
      <w:marTop w:val="0"/>
      <w:marBottom w:val="0"/>
      <w:divBdr>
        <w:top w:val="none" w:sz="0" w:space="0" w:color="auto"/>
        <w:left w:val="none" w:sz="0" w:space="0" w:color="auto"/>
        <w:bottom w:val="none" w:sz="0" w:space="0" w:color="auto"/>
        <w:right w:val="none" w:sz="0" w:space="0" w:color="auto"/>
      </w:divBdr>
    </w:div>
    <w:div w:id="404036992">
      <w:bodyDiv w:val="1"/>
      <w:marLeft w:val="0"/>
      <w:marRight w:val="0"/>
      <w:marTop w:val="0"/>
      <w:marBottom w:val="0"/>
      <w:divBdr>
        <w:top w:val="none" w:sz="0" w:space="0" w:color="auto"/>
        <w:left w:val="none" w:sz="0" w:space="0" w:color="auto"/>
        <w:bottom w:val="none" w:sz="0" w:space="0" w:color="auto"/>
        <w:right w:val="none" w:sz="0" w:space="0" w:color="auto"/>
      </w:divBdr>
    </w:div>
    <w:div w:id="426081230">
      <w:bodyDiv w:val="1"/>
      <w:marLeft w:val="0"/>
      <w:marRight w:val="0"/>
      <w:marTop w:val="0"/>
      <w:marBottom w:val="0"/>
      <w:divBdr>
        <w:top w:val="none" w:sz="0" w:space="0" w:color="auto"/>
        <w:left w:val="none" w:sz="0" w:space="0" w:color="auto"/>
        <w:bottom w:val="none" w:sz="0" w:space="0" w:color="auto"/>
        <w:right w:val="none" w:sz="0" w:space="0" w:color="auto"/>
      </w:divBdr>
    </w:div>
    <w:div w:id="427696370">
      <w:bodyDiv w:val="1"/>
      <w:marLeft w:val="0"/>
      <w:marRight w:val="0"/>
      <w:marTop w:val="0"/>
      <w:marBottom w:val="0"/>
      <w:divBdr>
        <w:top w:val="none" w:sz="0" w:space="0" w:color="auto"/>
        <w:left w:val="none" w:sz="0" w:space="0" w:color="auto"/>
        <w:bottom w:val="none" w:sz="0" w:space="0" w:color="auto"/>
        <w:right w:val="none" w:sz="0" w:space="0" w:color="auto"/>
      </w:divBdr>
    </w:div>
    <w:div w:id="437801355">
      <w:bodyDiv w:val="1"/>
      <w:marLeft w:val="0"/>
      <w:marRight w:val="0"/>
      <w:marTop w:val="0"/>
      <w:marBottom w:val="0"/>
      <w:divBdr>
        <w:top w:val="none" w:sz="0" w:space="0" w:color="auto"/>
        <w:left w:val="none" w:sz="0" w:space="0" w:color="auto"/>
        <w:bottom w:val="none" w:sz="0" w:space="0" w:color="auto"/>
        <w:right w:val="none" w:sz="0" w:space="0" w:color="auto"/>
      </w:divBdr>
    </w:div>
    <w:div w:id="447742675">
      <w:bodyDiv w:val="1"/>
      <w:marLeft w:val="0"/>
      <w:marRight w:val="0"/>
      <w:marTop w:val="0"/>
      <w:marBottom w:val="0"/>
      <w:divBdr>
        <w:top w:val="none" w:sz="0" w:space="0" w:color="auto"/>
        <w:left w:val="none" w:sz="0" w:space="0" w:color="auto"/>
        <w:bottom w:val="none" w:sz="0" w:space="0" w:color="auto"/>
        <w:right w:val="none" w:sz="0" w:space="0" w:color="auto"/>
      </w:divBdr>
    </w:div>
    <w:div w:id="454717719">
      <w:bodyDiv w:val="1"/>
      <w:marLeft w:val="0"/>
      <w:marRight w:val="0"/>
      <w:marTop w:val="0"/>
      <w:marBottom w:val="0"/>
      <w:divBdr>
        <w:top w:val="none" w:sz="0" w:space="0" w:color="auto"/>
        <w:left w:val="none" w:sz="0" w:space="0" w:color="auto"/>
        <w:bottom w:val="none" w:sz="0" w:space="0" w:color="auto"/>
        <w:right w:val="none" w:sz="0" w:space="0" w:color="auto"/>
      </w:divBdr>
    </w:div>
    <w:div w:id="490491250">
      <w:bodyDiv w:val="1"/>
      <w:marLeft w:val="0"/>
      <w:marRight w:val="0"/>
      <w:marTop w:val="0"/>
      <w:marBottom w:val="0"/>
      <w:divBdr>
        <w:top w:val="none" w:sz="0" w:space="0" w:color="auto"/>
        <w:left w:val="none" w:sz="0" w:space="0" w:color="auto"/>
        <w:bottom w:val="none" w:sz="0" w:space="0" w:color="auto"/>
        <w:right w:val="none" w:sz="0" w:space="0" w:color="auto"/>
      </w:divBdr>
    </w:div>
    <w:div w:id="502209813">
      <w:bodyDiv w:val="1"/>
      <w:marLeft w:val="0"/>
      <w:marRight w:val="0"/>
      <w:marTop w:val="0"/>
      <w:marBottom w:val="0"/>
      <w:divBdr>
        <w:top w:val="none" w:sz="0" w:space="0" w:color="auto"/>
        <w:left w:val="none" w:sz="0" w:space="0" w:color="auto"/>
        <w:bottom w:val="none" w:sz="0" w:space="0" w:color="auto"/>
        <w:right w:val="none" w:sz="0" w:space="0" w:color="auto"/>
      </w:divBdr>
    </w:div>
    <w:div w:id="509099887">
      <w:bodyDiv w:val="1"/>
      <w:marLeft w:val="0"/>
      <w:marRight w:val="0"/>
      <w:marTop w:val="0"/>
      <w:marBottom w:val="0"/>
      <w:divBdr>
        <w:top w:val="none" w:sz="0" w:space="0" w:color="auto"/>
        <w:left w:val="none" w:sz="0" w:space="0" w:color="auto"/>
        <w:bottom w:val="none" w:sz="0" w:space="0" w:color="auto"/>
        <w:right w:val="none" w:sz="0" w:space="0" w:color="auto"/>
      </w:divBdr>
    </w:div>
    <w:div w:id="540677483">
      <w:bodyDiv w:val="1"/>
      <w:marLeft w:val="0"/>
      <w:marRight w:val="0"/>
      <w:marTop w:val="0"/>
      <w:marBottom w:val="0"/>
      <w:divBdr>
        <w:top w:val="none" w:sz="0" w:space="0" w:color="auto"/>
        <w:left w:val="none" w:sz="0" w:space="0" w:color="auto"/>
        <w:bottom w:val="none" w:sz="0" w:space="0" w:color="auto"/>
        <w:right w:val="none" w:sz="0" w:space="0" w:color="auto"/>
      </w:divBdr>
    </w:div>
    <w:div w:id="541406938">
      <w:bodyDiv w:val="1"/>
      <w:marLeft w:val="0"/>
      <w:marRight w:val="0"/>
      <w:marTop w:val="0"/>
      <w:marBottom w:val="0"/>
      <w:divBdr>
        <w:top w:val="none" w:sz="0" w:space="0" w:color="auto"/>
        <w:left w:val="none" w:sz="0" w:space="0" w:color="auto"/>
        <w:bottom w:val="none" w:sz="0" w:space="0" w:color="auto"/>
        <w:right w:val="none" w:sz="0" w:space="0" w:color="auto"/>
      </w:divBdr>
    </w:div>
    <w:div w:id="553585736">
      <w:bodyDiv w:val="1"/>
      <w:marLeft w:val="0"/>
      <w:marRight w:val="0"/>
      <w:marTop w:val="0"/>
      <w:marBottom w:val="0"/>
      <w:divBdr>
        <w:top w:val="none" w:sz="0" w:space="0" w:color="auto"/>
        <w:left w:val="none" w:sz="0" w:space="0" w:color="auto"/>
        <w:bottom w:val="none" w:sz="0" w:space="0" w:color="auto"/>
        <w:right w:val="none" w:sz="0" w:space="0" w:color="auto"/>
      </w:divBdr>
    </w:div>
    <w:div w:id="576286241">
      <w:bodyDiv w:val="1"/>
      <w:marLeft w:val="0"/>
      <w:marRight w:val="0"/>
      <w:marTop w:val="0"/>
      <w:marBottom w:val="0"/>
      <w:divBdr>
        <w:top w:val="none" w:sz="0" w:space="0" w:color="auto"/>
        <w:left w:val="none" w:sz="0" w:space="0" w:color="auto"/>
        <w:bottom w:val="none" w:sz="0" w:space="0" w:color="auto"/>
        <w:right w:val="none" w:sz="0" w:space="0" w:color="auto"/>
      </w:divBdr>
    </w:div>
    <w:div w:id="610479241">
      <w:bodyDiv w:val="1"/>
      <w:marLeft w:val="0"/>
      <w:marRight w:val="0"/>
      <w:marTop w:val="0"/>
      <w:marBottom w:val="0"/>
      <w:divBdr>
        <w:top w:val="none" w:sz="0" w:space="0" w:color="auto"/>
        <w:left w:val="none" w:sz="0" w:space="0" w:color="auto"/>
        <w:bottom w:val="none" w:sz="0" w:space="0" w:color="auto"/>
        <w:right w:val="none" w:sz="0" w:space="0" w:color="auto"/>
      </w:divBdr>
    </w:div>
    <w:div w:id="643389238">
      <w:bodyDiv w:val="1"/>
      <w:marLeft w:val="0"/>
      <w:marRight w:val="0"/>
      <w:marTop w:val="0"/>
      <w:marBottom w:val="0"/>
      <w:divBdr>
        <w:top w:val="none" w:sz="0" w:space="0" w:color="auto"/>
        <w:left w:val="none" w:sz="0" w:space="0" w:color="auto"/>
        <w:bottom w:val="none" w:sz="0" w:space="0" w:color="auto"/>
        <w:right w:val="none" w:sz="0" w:space="0" w:color="auto"/>
      </w:divBdr>
    </w:div>
    <w:div w:id="761220790">
      <w:bodyDiv w:val="1"/>
      <w:marLeft w:val="0"/>
      <w:marRight w:val="0"/>
      <w:marTop w:val="0"/>
      <w:marBottom w:val="0"/>
      <w:divBdr>
        <w:top w:val="none" w:sz="0" w:space="0" w:color="auto"/>
        <w:left w:val="none" w:sz="0" w:space="0" w:color="auto"/>
        <w:bottom w:val="none" w:sz="0" w:space="0" w:color="auto"/>
        <w:right w:val="none" w:sz="0" w:space="0" w:color="auto"/>
      </w:divBdr>
    </w:div>
    <w:div w:id="772480627">
      <w:bodyDiv w:val="1"/>
      <w:marLeft w:val="0"/>
      <w:marRight w:val="0"/>
      <w:marTop w:val="0"/>
      <w:marBottom w:val="0"/>
      <w:divBdr>
        <w:top w:val="none" w:sz="0" w:space="0" w:color="auto"/>
        <w:left w:val="none" w:sz="0" w:space="0" w:color="auto"/>
        <w:bottom w:val="none" w:sz="0" w:space="0" w:color="auto"/>
        <w:right w:val="none" w:sz="0" w:space="0" w:color="auto"/>
      </w:divBdr>
    </w:div>
    <w:div w:id="820779021">
      <w:bodyDiv w:val="1"/>
      <w:marLeft w:val="0"/>
      <w:marRight w:val="0"/>
      <w:marTop w:val="0"/>
      <w:marBottom w:val="0"/>
      <w:divBdr>
        <w:top w:val="none" w:sz="0" w:space="0" w:color="auto"/>
        <w:left w:val="none" w:sz="0" w:space="0" w:color="auto"/>
        <w:bottom w:val="none" w:sz="0" w:space="0" w:color="auto"/>
        <w:right w:val="none" w:sz="0" w:space="0" w:color="auto"/>
      </w:divBdr>
    </w:div>
    <w:div w:id="853148544">
      <w:bodyDiv w:val="1"/>
      <w:marLeft w:val="0"/>
      <w:marRight w:val="0"/>
      <w:marTop w:val="0"/>
      <w:marBottom w:val="0"/>
      <w:divBdr>
        <w:top w:val="none" w:sz="0" w:space="0" w:color="auto"/>
        <w:left w:val="none" w:sz="0" w:space="0" w:color="auto"/>
        <w:bottom w:val="none" w:sz="0" w:space="0" w:color="auto"/>
        <w:right w:val="none" w:sz="0" w:space="0" w:color="auto"/>
      </w:divBdr>
    </w:div>
    <w:div w:id="857426695">
      <w:bodyDiv w:val="1"/>
      <w:marLeft w:val="0"/>
      <w:marRight w:val="0"/>
      <w:marTop w:val="0"/>
      <w:marBottom w:val="0"/>
      <w:divBdr>
        <w:top w:val="none" w:sz="0" w:space="0" w:color="auto"/>
        <w:left w:val="none" w:sz="0" w:space="0" w:color="auto"/>
        <w:bottom w:val="none" w:sz="0" w:space="0" w:color="auto"/>
        <w:right w:val="none" w:sz="0" w:space="0" w:color="auto"/>
      </w:divBdr>
    </w:div>
    <w:div w:id="933632733">
      <w:bodyDiv w:val="1"/>
      <w:marLeft w:val="0"/>
      <w:marRight w:val="0"/>
      <w:marTop w:val="0"/>
      <w:marBottom w:val="0"/>
      <w:divBdr>
        <w:top w:val="none" w:sz="0" w:space="0" w:color="auto"/>
        <w:left w:val="none" w:sz="0" w:space="0" w:color="auto"/>
        <w:bottom w:val="none" w:sz="0" w:space="0" w:color="auto"/>
        <w:right w:val="none" w:sz="0" w:space="0" w:color="auto"/>
      </w:divBdr>
    </w:div>
    <w:div w:id="951862043">
      <w:bodyDiv w:val="1"/>
      <w:marLeft w:val="0"/>
      <w:marRight w:val="0"/>
      <w:marTop w:val="0"/>
      <w:marBottom w:val="0"/>
      <w:divBdr>
        <w:top w:val="none" w:sz="0" w:space="0" w:color="auto"/>
        <w:left w:val="none" w:sz="0" w:space="0" w:color="auto"/>
        <w:bottom w:val="none" w:sz="0" w:space="0" w:color="auto"/>
        <w:right w:val="none" w:sz="0" w:space="0" w:color="auto"/>
      </w:divBdr>
      <w:divsChild>
        <w:div w:id="734010410">
          <w:marLeft w:val="0"/>
          <w:marRight w:val="0"/>
          <w:marTop w:val="0"/>
          <w:marBottom w:val="0"/>
          <w:divBdr>
            <w:top w:val="none" w:sz="0" w:space="0" w:color="auto"/>
            <w:left w:val="none" w:sz="0" w:space="0" w:color="auto"/>
            <w:bottom w:val="none" w:sz="0" w:space="0" w:color="auto"/>
            <w:right w:val="none" w:sz="0" w:space="0" w:color="auto"/>
          </w:divBdr>
        </w:div>
        <w:div w:id="272177025">
          <w:marLeft w:val="0"/>
          <w:marRight w:val="0"/>
          <w:marTop w:val="0"/>
          <w:marBottom w:val="0"/>
          <w:divBdr>
            <w:top w:val="none" w:sz="0" w:space="0" w:color="auto"/>
            <w:left w:val="none" w:sz="0" w:space="0" w:color="auto"/>
            <w:bottom w:val="none" w:sz="0" w:space="0" w:color="auto"/>
            <w:right w:val="none" w:sz="0" w:space="0" w:color="auto"/>
          </w:divBdr>
        </w:div>
      </w:divsChild>
    </w:div>
    <w:div w:id="1093630296">
      <w:bodyDiv w:val="1"/>
      <w:marLeft w:val="0"/>
      <w:marRight w:val="0"/>
      <w:marTop w:val="0"/>
      <w:marBottom w:val="0"/>
      <w:divBdr>
        <w:top w:val="none" w:sz="0" w:space="0" w:color="auto"/>
        <w:left w:val="none" w:sz="0" w:space="0" w:color="auto"/>
        <w:bottom w:val="none" w:sz="0" w:space="0" w:color="auto"/>
        <w:right w:val="none" w:sz="0" w:space="0" w:color="auto"/>
      </w:divBdr>
    </w:div>
    <w:div w:id="1141538734">
      <w:bodyDiv w:val="1"/>
      <w:marLeft w:val="0"/>
      <w:marRight w:val="0"/>
      <w:marTop w:val="0"/>
      <w:marBottom w:val="0"/>
      <w:divBdr>
        <w:top w:val="none" w:sz="0" w:space="0" w:color="auto"/>
        <w:left w:val="none" w:sz="0" w:space="0" w:color="auto"/>
        <w:bottom w:val="none" w:sz="0" w:space="0" w:color="auto"/>
        <w:right w:val="none" w:sz="0" w:space="0" w:color="auto"/>
      </w:divBdr>
    </w:div>
    <w:div w:id="1184438057">
      <w:bodyDiv w:val="1"/>
      <w:marLeft w:val="0"/>
      <w:marRight w:val="0"/>
      <w:marTop w:val="0"/>
      <w:marBottom w:val="0"/>
      <w:divBdr>
        <w:top w:val="none" w:sz="0" w:space="0" w:color="auto"/>
        <w:left w:val="none" w:sz="0" w:space="0" w:color="auto"/>
        <w:bottom w:val="none" w:sz="0" w:space="0" w:color="auto"/>
        <w:right w:val="none" w:sz="0" w:space="0" w:color="auto"/>
      </w:divBdr>
    </w:div>
    <w:div w:id="1231504706">
      <w:bodyDiv w:val="1"/>
      <w:marLeft w:val="0"/>
      <w:marRight w:val="0"/>
      <w:marTop w:val="0"/>
      <w:marBottom w:val="0"/>
      <w:divBdr>
        <w:top w:val="none" w:sz="0" w:space="0" w:color="auto"/>
        <w:left w:val="none" w:sz="0" w:space="0" w:color="auto"/>
        <w:bottom w:val="none" w:sz="0" w:space="0" w:color="auto"/>
        <w:right w:val="none" w:sz="0" w:space="0" w:color="auto"/>
      </w:divBdr>
    </w:div>
    <w:div w:id="1287001201">
      <w:bodyDiv w:val="1"/>
      <w:marLeft w:val="0"/>
      <w:marRight w:val="0"/>
      <w:marTop w:val="0"/>
      <w:marBottom w:val="0"/>
      <w:divBdr>
        <w:top w:val="none" w:sz="0" w:space="0" w:color="auto"/>
        <w:left w:val="none" w:sz="0" w:space="0" w:color="auto"/>
        <w:bottom w:val="none" w:sz="0" w:space="0" w:color="auto"/>
        <w:right w:val="none" w:sz="0" w:space="0" w:color="auto"/>
      </w:divBdr>
    </w:div>
    <w:div w:id="1297830831">
      <w:bodyDiv w:val="1"/>
      <w:marLeft w:val="0"/>
      <w:marRight w:val="0"/>
      <w:marTop w:val="0"/>
      <w:marBottom w:val="0"/>
      <w:divBdr>
        <w:top w:val="none" w:sz="0" w:space="0" w:color="auto"/>
        <w:left w:val="none" w:sz="0" w:space="0" w:color="auto"/>
        <w:bottom w:val="none" w:sz="0" w:space="0" w:color="auto"/>
        <w:right w:val="none" w:sz="0" w:space="0" w:color="auto"/>
      </w:divBdr>
    </w:div>
    <w:div w:id="1310206233">
      <w:bodyDiv w:val="1"/>
      <w:marLeft w:val="0"/>
      <w:marRight w:val="0"/>
      <w:marTop w:val="0"/>
      <w:marBottom w:val="0"/>
      <w:divBdr>
        <w:top w:val="none" w:sz="0" w:space="0" w:color="auto"/>
        <w:left w:val="none" w:sz="0" w:space="0" w:color="auto"/>
        <w:bottom w:val="none" w:sz="0" w:space="0" w:color="auto"/>
        <w:right w:val="none" w:sz="0" w:space="0" w:color="auto"/>
      </w:divBdr>
    </w:div>
    <w:div w:id="1350914368">
      <w:bodyDiv w:val="1"/>
      <w:marLeft w:val="0"/>
      <w:marRight w:val="0"/>
      <w:marTop w:val="0"/>
      <w:marBottom w:val="0"/>
      <w:divBdr>
        <w:top w:val="none" w:sz="0" w:space="0" w:color="auto"/>
        <w:left w:val="none" w:sz="0" w:space="0" w:color="auto"/>
        <w:bottom w:val="none" w:sz="0" w:space="0" w:color="auto"/>
        <w:right w:val="none" w:sz="0" w:space="0" w:color="auto"/>
      </w:divBdr>
      <w:divsChild>
        <w:div w:id="1425225167">
          <w:marLeft w:val="0"/>
          <w:marRight w:val="0"/>
          <w:marTop w:val="0"/>
          <w:marBottom w:val="0"/>
          <w:divBdr>
            <w:top w:val="none" w:sz="0" w:space="0" w:color="auto"/>
            <w:left w:val="none" w:sz="0" w:space="0" w:color="auto"/>
            <w:bottom w:val="none" w:sz="0" w:space="0" w:color="auto"/>
            <w:right w:val="none" w:sz="0" w:space="0" w:color="auto"/>
          </w:divBdr>
        </w:div>
      </w:divsChild>
    </w:div>
    <w:div w:id="1373505967">
      <w:bodyDiv w:val="1"/>
      <w:marLeft w:val="0"/>
      <w:marRight w:val="0"/>
      <w:marTop w:val="0"/>
      <w:marBottom w:val="0"/>
      <w:divBdr>
        <w:top w:val="none" w:sz="0" w:space="0" w:color="auto"/>
        <w:left w:val="none" w:sz="0" w:space="0" w:color="auto"/>
        <w:bottom w:val="none" w:sz="0" w:space="0" w:color="auto"/>
        <w:right w:val="none" w:sz="0" w:space="0" w:color="auto"/>
      </w:divBdr>
    </w:div>
    <w:div w:id="1448886049">
      <w:bodyDiv w:val="1"/>
      <w:marLeft w:val="0"/>
      <w:marRight w:val="0"/>
      <w:marTop w:val="0"/>
      <w:marBottom w:val="0"/>
      <w:divBdr>
        <w:top w:val="none" w:sz="0" w:space="0" w:color="auto"/>
        <w:left w:val="none" w:sz="0" w:space="0" w:color="auto"/>
        <w:bottom w:val="none" w:sz="0" w:space="0" w:color="auto"/>
        <w:right w:val="none" w:sz="0" w:space="0" w:color="auto"/>
      </w:divBdr>
    </w:div>
    <w:div w:id="1460535537">
      <w:bodyDiv w:val="1"/>
      <w:marLeft w:val="0"/>
      <w:marRight w:val="0"/>
      <w:marTop w:val="0"/>
      <w:marBottom w:val="0"/>
      <w:divBdr>
        <w:top w:val="none" w:sz="0" w:space="0" w:color="auto"/>
        <w:left w:val="none" w:sz="0" w:space="0" w:color="auto"/>
        <w:bottom w:val="none" w:sz="0" w:space="0" w:color="auto"/>
        <w:right w:val="none" w:sz="0" w:space="0" w:color="auto"/>
      </w:divBdr>
    </w:div>
    <w:div w:id="1466043586">
      <w:bodyDiv w:val="1"/>
      <w:marLeft w:val="0"/>
      <w:marRight w:val="0"/>
      <w:marTop w:val="0"/>
      <w:marBottom w:val="0"/>
      <w:divBdr>
        <w:top w:val="none" w:sz="0" w:space="0" w:color="auto"/>
        <w:left w:val="none" w:sz="0" w:space="0" w:color="auto"/>
        <w:bottom w:val="none" w:sz="0" w:space="0" w:color="auto"/>
        <w:right w:val="none" w:sz="0" w:space="0" w:color="auto"/>
      </w:divBdr>
    </w:div>
    <w:div w:id="1466774648">
      <w:bodyDiv w:val="1"/>
      <w:marLeft w:val="0"/>
      <w:marRight w:val="0"/>
      <w:marTop w:val="0"/>
      <w:marBottom w:val="0"/>
      <w:divBdr>
        <w:top w:val="none" w:sz="0" w:space="0" w:color="auto"/>
        <w:left w:val="none" w:sz="0" w:space="0" w:color="auto"/>
        <w:bottom w:val="none" w:sz="0" w:space="0" w:color="auto"/>
        <w:right w:val="none" w:sz="0" w:space="0" w:color="auto"/>
      </w:divBdr>
    </w:div>
    <w:div w:id="1489785699">
      <w:bodyDiv w:val="1"/>
      <w:marLeft w:val="0"/>
      <w:marRight w:val="0"/>
      <w:marTop w:val="0"/>
      <w:marBottom w:val="0"/>
      <w:divBdr>
        <w:top w:val="none" w:sz="0" w:space="0" w:color="auto"/>
        <w:left w:val="none" w:sz="0" w:space="0" w:color="auto"/>
        <w:bottom w:val="none" w:sz="0" w:space="0" w:color="auto"/>
        <w:right w:val="none" w:sz="0" w:space="0" w:color="auto"/>
      </w:divBdr>
    </w:div>
    <w:div w:id="1523663101">
      <w:bodyDiv w:val="1"/>
      <w:marLeft w:val="0"/>
      <w:marRight w:val="0"/>
      <w:marTop w:val="0"/>
      <w:marBottom w:val="0"/>
      <w:divBdr>
        <w:top w:val="none" w:sz="0" w:space="0" w:color="auto"/>
        <w:left w:val="none" w:sz="0" w:space="0" w:color="auto"/>
        <w:bottom w:val="none" w:sz="0" w:space="0" w:color="auto"/>
        <w:right w:val="none" w:sz="0" w:space="0" w:color="auto"/>
      </w:divBdr>
    </w:div>
    <w:div w:id="1552959327">
      <w:bodyDiv w:val="1"/>
      <w:marLeft w:val="0"/>
      <w:marRight w:val="0"/>
      <w:marTop w:val="0"/>
      <w:marBottom w:val="0"/>
      <w:divBdr>
        <w:top w:val="none" w:sz="0" w:space="0" w:color="auto"/>
        <w:left w:val="none" w:sz="0" w:space="0" w:color="auto"/>
        <w:bottom w:val="none" w:sz="0" w:space="0" w:color="auto"/>
        <w:right w:val="none" w:sz="0" w:space="0" w:color="auto"/>
      </w:divBdr>
    </w:div>
    <w:div w:id="1570193020">
      <w:bodyDiv w:val="1"/>
      <w:marLeft w:val="0"/>
      <w:marRight w:val="0"/>
      <w:marTop w:val="0"/>
      <w:marBottom w:val="0"/>
      <w:divBdr>
        <w:top w:val="none" w:sz="0" w:space="0" w:color="auto"/>
        <w:left w:val="none" w:sz="0" w:space="0" w:color="auto"/>
        <w:bottom w:val="none" w:sz="0" w:space="0" w:color="auto"/>
        <w:right w:val="none" w:sz="0" w:space="0" w:color="auto"/>
      </w:divBdr>
    </w:div>
    <w:div w:id="1599562689">
      <w:bodyDiv w:val="1"/>
      <w:marLeft w:val="0"/>
      <w:marRight w:val="0"/>
      <w:marTop w:val="0"/>
      <w:marBottom w:val="0"/>
      <w:divBdr>
        <w:top w:val="none" w:sz="0" w:space="0" w:color="auto"/>
        <w:left w:val="none" w:sz="0" w:space="0" w:color="auto"/>
        <w:bottom w:val="none" w:sz="0" w:space="0" w:color="auto"/>
        <w:right w:val="none" w:sz="0" w:space="0" w:color="auto"/>
      </w:divBdr>
    </w:div>
    <w:div w:id="1599948625">
      <w:bodyDiv w:val="1"/>
      <w:marLeft w:val="0"/>
      <w:marRight w:val="0"/>
      <w:marTop w:val="0"/>
      <w:marBottom w:val="0"/>
      <w:divBdr>
        <w:top w:val="none" w:sz="0" w:space="0" w:color="auto"/>
        <w:left w:val="none" w:sz="0" w:space="0" w:color="auto"/>
        <w:bottom w:val="none" w:sz="0" w:space="0" w:color="auto"/>
        <w:right w:val="none" w:sz="0" w:space="0" w:color="auto"/>
      </w:divBdr>
    </w:div>
    <w:div w:id="1611468545">
      <w:bodyDiv w:val="1"/>
      <w:marLeft w:val="0"/>
      <w:marRight w:val="0"/>
      <w:marTop w:val="0"/>
      <w:marBottom w:val="0"/>
      <w:divBdr>
        <w:top w:val="none" w:sz="0" w:space="0" w:color="auto"/>
        <w:left w:val="none" w:sz="0" w:space="0" w:color="auto"/>
        <w:bottom w:val="none" w:sz="0" w:space="0" w:color="auto"/>
        <w:right w:val="none" w:sz="0" w:space="0" w:color="auto"/>
      </w:divBdr>
    </w:div>
    <w:div w:id="1692413125">
      <w:bodyDiv w:val="1"/>
      <w:marLeft w:val="0"/>
      <w:marRight w:val="0"/>
      <w:marTop w:val="0"/>
      <w:marBottom w:val="0"/>
      <w:divBdr>
        <w:top w:val="none" w:sz="0" w:space="0" w:color="auto"/>
        <w:left w:val="none" w:sz="0" w:space="0" w:color="auto"/>
        <w:bottom w:val="none" w:sz="0" w:space="0" w:color="auto"/>
        <w:right w:val="none" w:sz="0" w:space="0" w:color="auto"/>
      </w:divBdr>
    </w:div>
    <w:div w:id="1723669124">
      <w:bodyDiv w:val="1"/>
      <w:marLeft w:val="0"/>
      <w:marRight w:val="0"/>
      <w:marTop w:val="0"/>
      <w:marBottom w:val="0"/>
      <w:divBdr>
        <w:top w:val="none" w:sz="0" w:space="0" w:color="auto"/>
        <w:left w:val="none" w:sz="0" w:space="0" w:color="auto"/>
        <w:bottom w:val="none" w:sz="0" w:space="0" w:color="auto"/>
        <w:right w:val="none" w:sz="0" w:space="0" w:color="auto"/>
      </w:divBdr>
    </w:div>
    <w:div w:id="1727994595">
      <w:bodyDiv w:val="1"/>
      <w:marLeft w:val="0"/>
      <w:marRight w:val="0"/>
      <w:marTop w:val="0"/>
      <w:marBottom w:val="0"/>
      <w:divBdr>
        <w:top w:val="none" w:sz="0" w:space="0" w:color="auto"/>
        <w:left w:val="none" w:sz="0" w:space="0" w:color="auto"/>
        <w:bottom w:val="none" w:sz="0" w:space="0" w:color="auto"/>
        <w:right w:val="none" w:sz="0" w:space="0" w:color="auto"/>
      </w:divBdr>
    </w:div>
    <w:div w:id="1730954229">
      <w:bodyDiv w:val="1"/>
      <w:marLeft w:val="0"/>
      <w:marRight w:val="0"/>
      <w:marTop w:val="0"/>
      <w:marBottom w:val="0"/>
      <w:divBdr>
        <w:top w:val="none" w:sz="0" w:space="0" w:color="auto"/>
        <w:left w:val="none" w:sz="0" w:space="0" w:color="auto"/>
        <w:bottom w:val="none" w:sz="0" w:space="0" w:color="auto"/>
        <w:right w:val="none" w:sz="0" w:space="0" w:color="auto"/>
      </w:divBdr>
    </w:div>
    <w:div w:id="1763986066">
      <w:bodyDiv w:val="1"/>
      <w:marLeft w:val="0"/>
      <w:marRight w:val="0"/>
      <w:marTop w:val="0"/>
      <w:marBottom w:val="0"/>
      <w:divBdr>
        <w:top w:val="none" w:sz="0" w:space="0" w:color="auto"/>
        <w:left w:val="none" w:sz="0" w:space="0" w:color="auto"/>
        <w:bottom w:val="none" w:sz="0" w:space="0" w:color="auto"/>
        <w:right w:val="none" w:sz="0" w:space="0" w:color="auto"/>
      </w:divBdr>
    </w:div>
    <w:div w:id="1786803820">
      <w:bodyDiv w:val="1"/>
      <w:marLeft w:val="0"/>
      <w:marRight w:val="0"/>
      <w:marTop w:val="0"/>
      <w:marBottom w:val="0"/>
      <w:divBdr>
        <w:top w:val="none" w:sz="0" w:space="0" w:color="auto"/>
        <w:left w:val="none" w:sz="0" w:space="0" w:color="auto"/>
        <w:bottom w:val="none" w:sz="0" w:space="0" w:color="auto"/>
        <w:right w:val="none" w:sz="0" w:space="0" w:color="auto"/>
      </w:divBdr>
    </w:div>
    <w:div w:id="1789936102">
      <w:bodyDiv w:val="1"/>
      <w:marLeft w:val="0"/>
      <w:marRight w:val="0"/>
      <w:marTop w:val="0"/>
      <w:marBottom w:val="0"/>
      <w:divBdr>
        <w:top w:val="none" w:sz="0" w:space="0" w:color="auto"/>
        <w:left w:val="none" w:sz="0" w:space="0" w:color="auto"/>
        <w:bottom w:val="none" w:sz="0" w:space="0" w:color="auto"/>
        <w:right w:val="none" w:sz="0" w:space="0" w:color="auto"/>
      </w:divBdr>
    </w:div>
    <w:div w:id="1867907802">
      <w:bodyDiv w:val="1"/>
      <w:marLeft w:val="0"/>
      <w:marRight w:val="0"/>
      <w:marTop w:val="0"/>
      <w:marBottom w:val="0"/>
      <w:divBdr>
        <w:top w:val="none" w:sz="0" w:space="0" w:color="auto"/>
        <w:left w:val="none" w:sz="0" w:space="0" w:color="auto"/>
        <w:bottom w:val="none" w:sz="0" w:space="0" w:color="auto"/>
        <w:right w:val="none" w:sz="0" w:space="0" w:color="auto"/>
      </w:divBdr>
    </w:div>
    <w:div w:id="1879851599">
      <w:bodyDiv w:val="1"/>
      <w:marLeft w:val="0"/>
      <w:marRight w:val="0"/>
      <w:marTop w:val="0"/>
      <w:marBottom w:val="0"/>
      <w:divBdr>
        <w:top w:val="none" w:sz="0" w:space="0" w:color="auto"/>
        <w:left w:val="none" w:sz="0" w:space="0" w:color="auto"/>
        <w:bottom w:val="none" w:sz="0" w:space="0" w:color="auto"/>
        <w:right w:val="none" w:sz="0" w:space="0" w:color="auto"/>
      </w:divBdr>
    </w:div>
    <w:div w:id="1909457227">
      <w:bodyDiv w:val="1"/>
      <w:marLeft w:val="0"/>
      <w:marRight w:val="0"/>
      <w:marTop w:val="0"/>
      <w:marBottom w:val="0"/>
      <w:divBdr>
        <w:top w:val="none" w:sz="0" w:space="0" w:color="auto"/>
        <w:left w:val="none" w:sz="0" w:space="0" w:color="auto"/>
        <w:bottom w:val="none" w:sz="0" w:space="0" w:color="auto"/>
        <w:right w:val="none" w:sz="0" w:space="0" w:color="auto"/>
      </w:divBdr>
    </w:div>
    <w:div w:id="2010012445">
      <w:bodyDiv w:val="1"/>
      <w:marLeft w:val="0"/>
      <w:marRight w:val="0"/>
      <w:marTop w:val="0"/>
      <w:marBottom w:val="0"/>
      <w:divBdr>
        <w:top w:val="none" w:sz="0" w:space="0" w:color="auto"/>
        <w:left w:val="none" w:sz="0" w:space="0" w:color="auto"/>
        <w:bottom w:val="none" w:sz="0" w:space="0" w:color="auto"/>
        <w:right w:val="none" w:sz="0" w:space="0" w:color="auto"/>
      </w:divBdr>
    </w:div>
    <w:div w:id="2017267782">
      <w:bodyDiv w:val="1"/>
      <w:marLeft w:val="0"/>
      <w:marRight w:val="0"/>
      <w:marTop w:val="0"/>
      <w:marBottom w:val="0"/>
      <w:divBdr>
        <w:top w:val="none" w:sz="0" w:space="0" w:color="auto"/>
        <w:left w:val="none" w:sz="0" w:space="0" w:color="auto"/>
        <w:bottom w:val="none" w:sz="0" w:space="0" w:color="auto"/>
        <w:right w:val="none" w:sz="0" w:space="0" w:color="auto"/>
      </w:divBdr>
    </w:div>
    <w:div w:id="2044133793">
      <w:bodyDiv w:val="1"/>
      <w:marLeft w:val="0"/>
      <w:marRight w:val="0"/>
      <w:marTop w:val="0"/>
      <w:marBottom w:val="0"/>
      <w:divBdr>
        <w:top w:val="none" w:sz="0" w:space="0" w:color="auto"/>
        <w:left w:val="none" w:sz="0" w:space="0" w:color="auto"/>
        <w:bottom w:val="none" w:sz="0" w:space="0" w:color="auto"/>
        <w:right w:val="none" w:sz="0" w:space="0" w:color="auto"/>
      </w:divBdr>
    </w:div>
    <w:div w:id="2061439632">
      <w:bodyDiv w:val="1"/>
      <w:marLeft w:val="0"/>
      <w:marRight w:val="0"/>
      <w:marTop w:val="0"/>
      <w:marBottom w:val="0"/>
      <w:divBdr>
        <w:top w:val="none" w:sz="0" w:space="0" w:color="auto"/>
        <w:left w:val="none" w:sz="0" w:space="0" w:color="auto"/>
        <w:bottom w:val="none" w:sz="0" w:space="0" w:color="auto"/>
        <w:right w:val="none" w:sz="0" w:space="0" w:color="auto"/>
      </w:divBdr>
    </w:div>
    <w:div w:id="2085058956">
      <w:bodyDiv w:val="1"/>
      <w:marLeft w:val="0"/>
      <w:marRight w:val="0"/>
      <w:marTop w:val="0"/>
      <w:marBottom w:val="0"/>
      <w:divBdr>
        <w:top w:val="none" w:sz="0" w:space="0" w:color="auto"/>
        <w:left w:val="none" w:sz="0" w:space="0" w:color="auto"/>
        <w:bottom w:val="none" w:sz="0" w:space="0" w:color="auto"/>
        <w:right w:val="none" w:sz="0" w:space="0" w:color="auto"/>
      </w:divBdr>
    </w:div>
    <w:div w:id="20973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F4E83352CC4A218A11E81D85029403"/>
        <w:category>
          <w:name w:val="General"/>
          <w:gallery w:val="placeholder"/>
        </w:category>
        <w:types>
          <w:type w:val="bbPlcHdr"/>
        </w:types>
        <w:behaviors>
          <w:behavior w:val="content"/>
        </w:behaviors>
        <w:guid w:val="{4BDE9B9E-356D-4664-838C-E71C35EC6C99}"/>
      </w:docPartPr>
      <w:docPartBody>
        <w:p w:rsidR="008E3481" w:rsidRDefault="008E3481" w:rsidP="008E3481">
          <w:pPr>
            <w:pStyle w:val="B2F4E83352CC4A218A11E81D8502940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7"/>
    <w:rsid w:val="000A706B"/>
    <w:rsid w:val="000E0F6E"/>
    <w:rsid w:val="000E1556"/>
    <w:rsid w:val="000E39D3"/>
    <w:rsid w:val="00111184"/>
    <w:rsid w:val="001C1D45"/>
    <w:rsid w:val="00206072"/>
    <w:rsid w:val="0025145A"/>
    <w:rsid w:val="003057CA"/>
    <w:rsid w:val="0030630C"/>
    <w:rsid w:val="00344798"/>
    <w:rsid w:val="00351713"/>
    <w:rsid w:val="00373F9A"/>
    <w:rsid w:val="0040456C"/>
    <w:rsid w:val="00436EC5"/>
    <w:rsid w:val="004659E0"/>
    <w:rsid w:val="00483683"/>
    <w:rsid w:val="004E4078"/>
    <w:rsid w:val="0050532D"/>
    <w:rsid w:val="005241D9"/>
    <w:rsid w:val="005950F6"/>
    <w:rsid w:val="00650DAE"/>
    <w:rsid w:val="00695136"/>
    <w:rsid w:val="006D782F"/>
    <w:rsid w:val="006F400F"/>
    <w:rsid w:val="006F5917"/>
    <w:rsid w:val="007156D5"/>
    <w:rsid w:val="007967B8"/>
    <w:rsid w:val="007B7C97"/>
    <w:rsid w:val="0087135E"/>
    <w:rsid w:val="008E191F"/>
    <w:rsid w:val="008E3481"/>
    <w:rsid w:val="00A431C7"/>
    <w:rsid w:val="00A447FA"/>
    <w:rsid w:val="00A478CD"/>
    <w:rsid w:val="00A537A3"/>
    <w:rsid w:val="00A73041"/>
    <w:rsid w:val="00AC02F4"/>
    <w:rsid w:val="00AD00A6"/>
    <w:rsid w:val="00B1602E"/>
    <w:rsid w:val="00B30144"/>
    <w:rsid w:val="00B723F8"/>
    <w:rsid w:val="00C60600"/>
    <w:rsid w:val="00C73DA2"/>
    <w:rsid w:val="00C7677A"/>
    <w:rsid w:val="00CC0BAC"/>
    <w:rsid w:val="00CD06C1"/>
    <w:rsid w:val="00CE7EF8"/>
    <w:rsid w:val="00D12D01"/>
    <w:rsid w:val="00DF70C9"/>
    <w:rsid w:val="00E02204"/>
    <w:rsid w:val="00E94C47"/>
    <w:rsid w:val="00F32EFA"/>
    <w:rsid w:val="00F65F2A"/>
    <w:rsid w:val="00F66FE9"/>
    <w:rsid w:val="00F87B21"/>
    <w:rsid w:val="00F96420"/>
    <w:rsid w:val="00FC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40D31AB5C4D83860A5AA37C41EE40">
    <w:name w:val="CE240D31AB5C4D83860A5AA37C41EE40"/>
    <w:rsid w:val="006F5917"/>
  </w:style>
  <w:style w:type="paragraph" w:customStyle="1" w:styleId="80D746CF7B574892A88AF78A0C04485C">
    <w:name w:val="80D746CF7B574892A88AF78A0C04485C"/>
    <w:rsid w:val="006F5917"/>
  </w:style>
  <w:style w:type="paragraph" w:customStyle="1" w:styleId="7AD6FE00B98A4778B29B19A2A7BEABD5">
    <w:name w:val="7AD6FE00B98A4778B29B19A2A7BEABD5"/>
    <w:rsid w:val="006F5917"/>
  </w:style>
  <w:style w:type="paragraph" w:customStyle="1" w:styleId="6AE300F40DE84CEF883C0FD302992D81">
    <w:name w:val="6AE300F40DE84CEF883C0FD302992D81"/>
    <w:rsid w:val="006F5917"/>
  </w:style>
  <w:style w:type="paragraph" w:customStyle="1" w:styleId="4D34FA762485435E9401B550ADE3F64E">
    <w:name w:val="4D34FA762485435E9401B550ADE3F64E"/>
    <w:rsid w:val="006F5917"/>
  </w:style>
  <w:style w:type="paragraph" w:customStyle="1" w:styleId="B8EC8073530D4757A3D20480852F8FFE">
    <w:name w:val="B8EC8073530D4757A3D20480852F8FFE"/>
    <w:rsid w:val="00483683"/>
    <w:pPr>
      <w:spacing w:after="200" w:line="276" w:lineRule="auto"/>
    </w:pPr>
    <w:rPr>
      <w:lang w:val="en-IN" w:eastAsia="en-IN"/>
    </w:rPr>
  </w:style>
  <w:style w:type="paragraph" w:customStyle="1" w:styleId="3043D3F924F349A392C48414FDC96CB7">
    <w:name w:val="3043D3F924F349A392C48414FDC96CB7"/>
    <w:rsid w:val="00483683"/>
    <w:pPr>
      <w:spacing w:after="200" w:line="276" w:lineRule="auto"/>
    </w:pPr>
    <w:rPr>
      <w:lang w:val="en-IN" w:eastAsia="en-IN"/>
    </w:rPr>
  </w:style>
  <w:style w:type="paragraph" w:customStyle="1" w:styleId="DCBDF508DC5649BDA5C74D670A3530A6">
    <w:name w:val="DCBDF508DC5649BDA5C74D670A3530A6"/>
    <w:rsid w:val="00483683"/>
    <w:pPr>
      <w:spacing w:after="200" w:line="276" w:lineRule="auto"/>
    </w:pPr>
    <w:rPr>
      <w:lang w:val="en-IN" w:eastAsia="en-IN"/>
    </w:rPr>
  </w:style>
  <w:style w:type="paragraph" w:customStyle="1" w:styleId="D244194D1A494124A005A3ED05C2AF14">
    <w:name w:val="D244194D1A494124A005A3ED05C2AF14"/>
    <w:rsid w:val="00483683"/>
    <w:pPr>
      <w:spacing w:after="200" w:line="276" w:lineRule="auto"/>
    </w:pPr>
    <w:rPr>
      <w:lang w:val="en-IN" w:eastAsia="en-IN"/>
    </w:rPr>
  </w:style>
  <w:style w:type="paragraph" w:customStyle="1" w:styleId="B2F4E83352CC4A218A11E81D85029403">
    <w:name w:val="B2F4E83352CC4A218A11E81D85029403"/>
    <w:rsid w:val="008E3481"/>
    <w:pPr>
      <w:spacing w:after="200" w:line="276" w:lineRule="auto"/>
    </w:pPr>
    <w:rPr>
      <w:lang w:val="en-IN" w:eastAsia="en-I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40D31AB5C4D83860A5AA37C41EE40">
    <w:name w:val="CE240D31AB5C4D83860A5AA37C41EE40"/>
    <w:rsid w:val="006F5917"/>
  </w:style>
  <w:style w:type="paragraph" w:customStyle="1" w:styleId="80D746CF7B574892A88AF78A0C04485C">
    <w:name w:val="80D746CF7B574892A88AF78A0C04485C"/>
    <w:rsid w:val="006F5917"/>
  </w:style>
  <w:style w:type="paragraph" w:customStyle="1" w:styleId="7AD6FE00B98A4778B29B19A2A7BEABD5">
    <w:name w:val="7AD6FE00B98A4778B29B19A2A7BEABD5"/>
    <w:rsid w:val="006F5917"/>
  </w:style>
  <w:style w:type="paragraph" w:customStyle="1" w:styleId="6AE300F40DE84CEF883C0FD302992D81">
    <w:name w:val="6AE300F40DE84CEF883C0FD302992D81"/>
    <w:rsid w:val="006F5917"/>
  </w:style>
  <w:style w:type="paragraph" w:customStyle="1" w:styleId="4D34FA762485435E9401B550ADE3F64E">
    <w:name w:val="4D34FA762485435E9401B550ADE3F64E"/>
    <w:rsid w:val="006F5917"/>
  </w:style>
  <w:style w:type="paragraph" w:customStyle="1" w:styleId="B8EC8073530D4757A3D20480852F8FFE">
    <w:name w:val="B8EC8073530D4757A3D20480852F8FFE"/>
    <w:rsid w:val="00483683"/>
    <w:pPr>
      <w:spacing w:after="200" w:line="276" w:lineRule="auto"/>
    </w:pPr>
    <w:rPr>
      <w:lang w:val="en-IN" w:eastAsia="en-IN"/>
    </w:rPr>
  </w:style>
  <w:style w:type="paragraph" w:customStyle="1" w:styleId="3043D3F924F349A392C48414FDC96CB7">
    <w:name w:val="3043D3F924F349A392C48414FDC96CB7"/>
    <w:rsid w:val="00483683"/>
    <w:pPr>
      <w:spacing w:after="200" w:line="276" w:lineRule="auto"/>
    </w:pPr>
    <w:rPr>
      <w:lang w:val="en-IN" w:eastAsia="en-IN"/>
    </w:rPr>
  </w:style>
  <w:style w:type="paragraph" w:customStyle="1" w:styleId="DCBDF508DC5649BDA5C74D670A3530A6">
    <w:name w:val="DCBDF508DC5649BDA5C74D670A3530A6"/>
    <w:rsid w:val="00483683"/>
    <w:pPr>
      <w:spacing w:after="200" w:line="276" w:lineRule="auto"/>
    </w:pPr>
    <w:rPr>
      <w:lang w:val="en-IN" w:eastAsia="en-IN"/>
    </w:rPr>
  </w:style>
  <w:style w:type="paragraph" w:customStyle="1" w:styleId="D244194D1A494124A005A3ED05C2AF14">
    <w:name w:val="D244194D1A494124A005A3ED05C2AF14"/>
    <w:rsid w:val="00483683"/>
    <w:pPr>
      <w:spacing w:after="200" w:line="276" w:lineRule="auto"/>
    </w:pPr>
    <w:rPr>
      <w:lang w:val="en-IN" w:eastAsia="en-IN"/>
    </w:rPr>
  </w:style>
  <w:style w:type="paragraph" w:customStyle="1" w:styleId="B2F4E83352CC4A218A11E81D85029403">
    <w:name w:val="B2F4E83352CC4A218A11E81D85029403"/>
    <w:rsid w:val="008E3481"/>
    <w:pPr>
      <w:spacing w:after="200" w:line="276" w:lineRule="auto"/>
    </w:pPr>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423C-7C3A-4C60-988F-3D3EF3AC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47</Pages>
  <Words>11205</Words>
  <Characters>63870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TRUING UP FOR FY-20</vt:lpstr>
    </vt:vector>
  </TitlesOfParts>
  <Company>Hewlett-Packard</Company>
  <LinksUpToDate>false</LinksUpToDate>
  <CharactersWithSpaces>74926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TRUING UP FOR FY-20</dc:title>
  <dc:creator>DGM(COSTING)</dc:creator>
  <cp:lastModifiedBy>acer</cp:lastModifiedBy>
  <cp:revision>322</cp:revision>
  <cp:lastPrinted>2020-11-21T11:05:00Z</cp:lastPrinted>
  <dcterms:created xsi:type="dcterms:W3CDTF">2019-11-25T09:11:00Z</dcterms:created>
  <dcterms:modified xsi:type="dcterms:W3CDTF">2020-11-26T10:32:00Z</dcterms:modified>
</cp:coreProperties>
</file>